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8240"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 xml:space="preserve">Use this form to request a new common or unique course. Consult the </w:t>
      </w:r>
      <w:proofErr w:type="gramStart"/>
      <w:r w:rsidRPr="00F134AE">
        <w:rPr>
          <w:spacing w:val="-2"/>
        </w:rPr>
        <w:t>system</w:t>
      </w:r>
      <w:r w:rsidR="004D7B32">
        <w:rPr>
          <w:spacing w:val="-2"/>
        </w:rPr>
        <w:t xml:space="preserve"> course</w:t>
      </w:r>
      <w:proofErr w:type="gramEnd"/>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799162DF" w:rsidR="00DF1D6F" w:rsidRDefault="00653D2A" w:rsidP="00F84D99">
            <w:pPr>
              <w:tabs>
                <w:tab w:val="center" w:pos="5400"/>
              </w:tabs>
              <w:suppressAutoHyphens/>
              <w:rPr>
                <w:spacing w:val="-2"/>
                <w:sz w:val="24"/>
              </w:rPr>
            </w:pPr>
            <w:r>
              <w:rPr>
                <w:noProof/>
              </w:rPr>
              <w:drawing>
                <wp:inline distT="0" distB="0" distL="0" distR="0" wp14:anchorId="598B0EF4" wp14:editId="46C98FE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5-03-05T00:00:00Z">
              <w:dateFormat w:val="M/d/yyyy"/>
              <w:lid w:val="en-US"/>
              <w:storeMappedDataAs w:val="dateTime"/>
              <w:calendar w:val="gregorian"/>
            </w:date>
          </w:sdtPr>
          <w:sdtContent>
            <w:tc>
              <w:tcPr>
                <w:tcW w:w="1717" w:type="dxa"/>
                <w:tcBorders>
                  <w:top w:val="nil"/>
                  <w:left w:val="nil"/>
                  <w:right w:val="nil"/>
                </w:tcBorders>
                <w:vAlign w:val="bottom"/>
              </w:tcPr>
              <w:p w14:paraId="485EBCB2" w14:textId="24209764" w:rsidR="00F134AE" w:rsidRDefault="00FE1858" w:rsidP="003C2AA0">
                <w:pPr>
                  <w:tabs>
                    <w:tab w:val="center" w:pos="5400"/>
                  </w:tabs>
                  <w:suppressAutoHyphens/>
                  <w:jc w:val="center"/>
                  <w:rPr>
                    <w:spacing w:val="-2"/>
                    <w:sz w:val="24"/>
                  </w:rPr>
                </w:pPr>
                <w:r>
                  <w:rPr>
                    <w:spacing w:val="-2"/>
                    <w:sz w:val="24"/>
                  </w:rPr>
                  <w:t>3/5/2025</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231DA86D" w:rsidR="004F72E5" w:rsidRPr="004F72E5" w:rsidRDefault="0048494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INFA 74</w:t>
            </w:r>
            <w:r w:rsidR="00811DF0">
              <w:rPr>
                <w:spacing w:val="-2"/>
                <w:sz w:val="24"/>
              </w:rPr>
              <w:t>8</w:t>
            </w:r>
          </w:p>
        </w:tc>
        <w:tc>
          <w:tcPr>
            <w:tcW w:w="6480" w:type="dxa"/>
          </w:tcPr>
          <w:p w14:paraId="4166344A" w14:textId="472EECB6" w:rsidR="004F72E5" w:rsidRPr="004F72E5" w:rsidRDefault="00811DF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Digital Forensics for Data Privacy</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w:t>
      </w:r>
      <w:proofErr w:type="gramStart"/>
      <w:r w:rsidRPr="00C35408">
        <w:rPr>
          <w:i/>
          <w:spacing w:val="-2"/>
        </w:rPr>
        <w:t>on</w:t>
      </w:r>
      <w:proofErr w:type="gramEnd"/>
      <w:r w:rsidRPr="00C35408">
        <w:rPr>
          <w:i/>
          <w:spacing w:val="-2"/>
        </w:rPr>
        <w:t xml:space="preserve">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57110A" w14:paraId="0ED3232A" w14:textId="77777777" w:rsidTr="00C33A19">
        <w:trPr>
          <w:cantSplit/>
        </w:trPr>
        <w:tc>
          <w:tcPr>
            <w:tcW w:w="9360" w:type="dxa"/>
            <w:gridSpan w:val="2"/>
            <w:tcBorders>
              <w:bottom w:val="single" w:sz="4" w:space="0" w:color="auto"/>
            </w:tcBorders>
          </w:tcPr>
          <w:p w14:paraId="48736AC0" w14:textId="6012316E" w:rsidR="00BE7259" w:rsidRPr="00F767A5" w:rsidRDefault="00E16827" w:rsidP="00D863E4">
            <w:pPr>
              <w:rPr>
                <w:sz w:val="24"/>
                <w:szCs w:val="24"/>
              </w:rPr>
            </w:pPr>
            <w:r w:rsidRPr="00E16827">
              <w:rPr>
                <w:sz w:val="24"/>
                <w:szCs w:val="24"/>
              </w:rPr>
              <w:t>This non-technical course examines the identification, acquisition, preservation, and analysis of digital evidence while addressing legal, regulatory, and compliance challenges related to data privacy. Students will explore forensic tools, evidence handling, and recovery techniques across various digital environments, with a focus on privacy implications such as data minimization, encryption, and anonymization. Through case studies and discussions, students will develop a foundational understanding of forensic methodologies while assessing ethical, legal, and privacy risks in digital investigations.</w:t>
            </w: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43D63E49"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9EC2963" w14:textId="318AEDCF" w:rsidR="00F134AE" w:rsidRDefault="00E67856" w:rsidP="003D54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73FCB3E5" w14:textId="578801B6" w:rsidR="00F134AE" w:rsidRDefault="00744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lastRenderedPageBreak/>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2C6F842C" w14:textId="79C0AE34" w:rsidR="00F134AE" w:rsidRDefault="0003442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4D2E66A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w:t>
            </w:r>
            <w:proofErr w:type="gramStart"/>
            <w:r w:rsidRPr="0081310A">
              <w:rPr>
                <w:i/>
                <w:spacing w:val="-2"/>
                <w:sz w:val="24"/>
              </w:rPr>
              <w:t>course</w:t>
            </w:r>
            <w:proofErr w:type="gramEnd"/>
            <w:r w:rsidRPr="0081310A">
              <w:rPr>
                <w:i/>
                <w:spacing w:val="-2"/>
                <w:sz w:val="24"/>
              </w:rPr>
              <w:t xml:space="preserv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002936DD">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002936DD">
        <w:tc>
          <w:tcPr>
            <w:tcW w:w="1530" w:type="dxa"/>
          </w:tcPr>
          <w:p w14:paraId="4813D737" w14:textId="759E7C18" w:rsidR="00AE2164" w:rsidRPr="000006D5" w:rsidRDefault="00811DF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INFA 721</w:t>
            </w:r>
          </w:p>
        </w:tc>
        <w:tc>
          <w:tcPr>
            <w:tcW w:w="6120" w:type="dxa"/>
          </w:tcPr>
          <w:p w14:paraId="3C3424BC" w14:textId="0BBBCD93" w:rsidR="00AE2164" w:rsidRPr="000006D5" w:rsidRDefault="00811DF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Digital Forensics</w:t>
            </w:r>
          </w:p>
        </w:tc>
        <w:tc>
          <w:tcPr>
            <w:tcW w:w="1530" w:type="dxa"/>
          </w:tcPr>
          <w:p w14:paraId="37720C46" w14:textId="6C40E6E9" w:rsidR="00AE2164" w:rsidRPr="000006D5" w:rsidRDefault="00811DF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3</w:t>
            </w:r>
          </w:p>
        </w:tc>
      </w:tr>
      <w:tr w:rsidR="00B17DC4" w:rsidRPr="00B17DC4" w14:paraId="7F77FFA7" w14:textId="77777777" w:rsidTr="002936DD">
        <w:tc>
          <w:tcPr>
            <w:tcW w:w="1530" w:type="dxa"/>
          </w:tcPr>
          <w:p w14:paraId="00988451" w14:textId="4198AE0E"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7618CBB9" w14:textId="193C83CA"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304C702B" w14:textId="10E76C90"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40F42E28" w14:textId="77777777" w:rsidTr="002936DD">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 xml:space="preserve">Provide </w:t>
            </w:r>
            <w:proofErr w:type="gramStart"/>
            <w:r w:rsidRPr="00B17DC4">
              <w:rPr>
                <w:i/>
                <w:spacing w:val="-2"/>
                <w:sz w:val="24"/>
              </w:rPr>
              <w:t>explanation</w:t>
            </w:r>
            <w:proofErr w:type="gramEnd"/>
            <w:r w:rsidRPr="00B17DC4">
              <w:rPr>
                <w:i/>
                <w:spacing w:val="-2"/>
                <w:sz w:val="24"/>
              </w:rPr>
              <w:t xml:space="preserve"> of differences between </w:t>
            </w:r>
            <w:proofErr w:type="gramStart"/>
            <w:r w:rsidRPr="00B17DC4">
              <w:rPr>
                <w:i/>
                <w:spacing w:val="-2"/>
                <w:sz w:val="24"/>
              </w:rPr>
              <w:t>proposed</w:t>
            </w:r>
            <w:proofErr w:type="gramEnd"/>
            <w:r w:rsidRPr="00B17DC4">
              <w:rPr>
                <w:i/>
                <w:spacing w:val="-2"/>
                <w:sz w:val="24"/>
              </w:rPr>
              <w:t xml:space="preserve"> course and existing system catalog courses below:</w:t>
            </w:r>
          </w:p>
        </w:tc>
      </w:tr>
      <w:tr w:rsidR="002936DD" w:rsidRPr="00B17DC4" w14:paraId="2BDD8B2F" w14:textId="77777777" w:rsidTr="002936DD">
        <w:tc>
          <w:tcPr>
            <w:tcW w:w="9180" w:type="dxa"/>
            <w:gridSpan w:val="3"/>
            <w:tcBorders>
              <w:top w:val="single" w:sz="6" w:space="0" w:color="auto"/>
            </w:tcBorders>
          </w:tcPr>
          <w:tbl>
            <w:tblPr>
              <w:tblW w:w="5000" w:type="pct"/>
              <w:tblCellMar>
                <w:left w:w="0" w:type="dxa"/>
                <w:right w:w="0" w:type="dxa"/>
              </w:tblCellMar>
              <w:tblLook w:val="04A0" w:firstRow="1" w:lastRow="0" w:firstColumn="1" w:lastColumn="0" w:noHBand="0" w:noVBand="1"/>
            </w:tblPr>
            <w:tblGrid>
              <w:gridCol w:w="8958"/>
              <w:gridCol w:w="6"/>
            </w:tblGrid>
            <w:tr w:rsidR="00B9336A" w:rsidRPr="00B9336A" w14:paraId="47B0A115" w14:textId="77777777" w:rsidTr="00B9336A">
              <w:tc>
                <w:tcPr>
                  <w:tcW w:w="0" w:type="auto"/>
                  <w:vAlign w:val="center"/>
                  <w:hideMark/>
                </w:tcPr>
                <w:p w14:paraId="32163840" w14:textId="1D3851B8" w:rsidR="00B9336A" w:rsidRPr="00B9336A" w:rsidRDefault="00B451C9" w:rsidP="00A54B6F">
                  <w:pPr>
                    <w:rPr>
                      <w:sz w:val="24"/>
                      <w:szCs w:val="24"/>
                    </w:rPr>
                  </w:pPr>
                  <w:r w:rsidRPr="00B451C9">
                    <w:rPr>
                      <w:spacing w:val="-2"/>
                      <w:sz w:val="24"/>
                    </w:rPr>
                    <w:t>INFA 748: Digital Forensics for Data Privacy and INFA 721: Digital Forensics both cover digital evidence identification, acquisition, preservation, and analysis, but they differ in approach and application.</w:t>
                  </w:r>
                  <w:r w:rsidR="00A54B6F" w:rsidRPr="00B9336A">
                    <w:rPr>
                      <w:sz w:val="24"/>
                      <w:szCs w:val="24"/>
                    </w:rPr>
                    <w:t xml:space="preserve"> </w:t>
                  </w:r>
                </w:p>
              </w:tc>
              <w:tc>
                <w:tcPr>
                  <w:tcW w:w="0" w:type="auto"/>
                  <w:vAlign w:val="center"/>
                  <w:hideMark/>
                </w:tcPr>
                <w:p w14:paraId="1978BB28" w14:textId="77777777" w:rsidR="00B9336A" w:rsidRPr="00B9336A" w:rsidRDefault="00B9336A" w:rsidP="00B9336A">
                  <w:pPr>
                    <w:rPr>
                      <w:sz w:val="24"/>
                      <w:szCs w:val="24"/>
                    </w:rPr>
                  </w:pPr>
                </w:p>
              </w:tc>
            </w:tr>
          </w:tbl>
          <w:p w14:paraId="56E50AD6" w14:textId="43A7F0E3" w:rsidR="00AE0973" w:rsidRPr="00B17DC4" w:rsidRDefault="00AE0973" w:rsidP="004561D0">
            <w:pPr>
              <w:rPr>
                <w:spacing w:val="-2"/>
                <w:sz w:val="24"/>
              </w:rPr>
            </w:pPr>
          </w:p>
        </w:tc>
      </w:tr>
    </w:tbl>
    <w:p w14:paraId="6D3162F0" w14:textId="77777777" w:rsidR="00B17DC4" w:rsidRDefault="00B17DC4" w:rsidP="00F84D99">
      <w:pPr>
        <w:rPr>
          <w:spacing w:val="-2"/>
          <w:sz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3310"/>
        <w:gridCol w:w="4656"/>
      </w:tblGrid>
      <w:tr w:rsidR="009A328B" w:rsidRPr="0068615A" w14:paraId="7CA5C196" w14:textId="77777777" w:rsidTr="06B5F436">
        <w:trPr>
          <w:tblCellSpacing w:w="15" w:type="dxa"/>
        </w:trPr>
        <w:tc>
          <w:tcPr>
            <w:tcW w:w="0" w:type="auto"/>
            <w:vAlign w:val="center"/>
            <w:hideMark/>
          </w:tcPr>
          <w:p w14:paraId="08BBE7E3" w14:textId="2DA2A61D" w:rsidR="0068615A" w:rsidRPr="0068615A" w:rsidRDefault="0068615A" w:rsidP="0068615A">
            <w:pPr>
              <w:rPr>
                <w:spacing w:val="-2"/>
              </w:rPr>
            </w:pPr>
          </w:p>
        </w:tc>
        <w:tc>
          <w:tcPr>
            <w:tcW w:w="0" w:type="auto"/>
            <w:vAlign w:val="center"/>
            <w:hideMark/>
          </w:tcPr>
          <w:p w14:paraId="2BBB9229" w14:textId="77777777" w:rsidR="0068615A" w:rsidRPr="0068615A" w:rsidRDefault="0068615A" w:rsidP="0068615A">
            <w:pPr>
              <w:rPr>
                <w:spacing w:val="-2"/>
              </w:rPr>
            </w:pPr>
            <w:r w:rsidRPr="0068615A">
              <w:rPr>
                <w:spacing w:val="-2"/>
              </w:rPr>
              <w:t>INFA 748: Digital Forensics for Data Privacy</w:t>
            </w:r>
          </w:p>
        </w:tc>
        <w:tc>
          <w:tcPr>
            <w:tcW w:w="0" w:type="auto"/>
            <w:vAlign w:val="center"/>
            <w:hideMark/>
          </w:tcPr>
          <w:p w14:paraId="55E2E631" w14:textId="77777777" w:rsidR="0068615A" w:rsidRPr="0068615A" w:rsidRDefault="0068615A" w:rsidP="0068615A">
            <w:pPr>
              <w:rPr>
                <w:spacing w:val="-2"/>
              </w:rPr>
            </w:pPr>
            <w:r w:rsidRPr="0068615A">
              <w:rPr>
                <w:spacing w:val="-2"/>
              </w:rPr>
              <w:t>INFA 721: Digital Forensics</w:t>
            </w:r>
          </w:p>
        </w:tc>
      </w:tr>
      <w:tr w:rsidR="009A328B" w:rsidRPr="0068615A" w14:paraId="66997F20" w14:textId="77777777" w:rsidTr="06B5F436">
        <w:trPr>
          <w:tblCellSpacing w:w="15" w:type="dxa"/>
        </w:trPr>
        <w:tc>
          <w:tcPr>
            <w:tcW w:w="0" w:type="auto"/>
            <w:vAlign w:val="center"/>
            <w:hideMark/>
          </w:tcPr>
          <w:p w14:paraId="7E0084E2" w14:textId="77777777" w:rsidR="0068615A" w:rsidRPr="0068615A" w:rsidRDefault="0068615A" w:rsidP="0068615A">
            <w:pPr>
              <w:rPr>
                <w:spacing w:val="-2"/>
              </w:rPr>
            </w:pPr>
            <w:r w:rsidRPr="0068615A">
              <w:rPr>
                <w:spacing w:val="-2"/>
              </w:rPr>
              <w:t>Primary Focus</w:t>
            </w:r>
          </w:p>
        </w:tc>
        <w:tc>
          <w:tcPr>
            <w:tcW w:w="0" w:type="auto"/>
            <w:vAlign w:val="center"/>
            <w:hideMark/>
          </w:tcPr>
          <w:p w14:paraId="74F6D9CB" w14:textId="77777777" w:rsidR="0068615A" w:rsidRPr="0068615A" w:rsidRDefault="0068615A" w:rsidP="0068615A">
            <w:pPr>
              <w:rPr>
                <w:spacing w:val="-2"/>
              </w:rPr>
            </w:pPr>
            <w:r w:rsidRPr="0068615A">
              <w:rPr>
                <w:spacing w:val="-2"/>
              </w:rPr>
              <w:t>The intersection of digital forensics and data privacy, emphasizing privacy laws, ethical concerns, and privacy-enhancing forensic techniques.</w:t>
            </w:r>
          </w:p>
        </w:tc>
        <w:tc>
          <w:tcPr>
            <w:tcW w:w="0" w:type="auto"/>
            <w:vAlign w:val="center"/>
            <w:hideMark/>
          </w:tcPr>
          <w:p w14:paraId="3D0E3F27" w14:textId="77777777" w:rsidR="0068615A" w:rsidRPr="0068615A" w:rsidRDefault="0068615A" w:rsidP="0068615A">
            <w:pPr>
              <w:rPr>
                <w:spacing w:val="-2"/>
              </w:rPr>
            </w:pPr>
            <w:r w:rsidRPr="0068615A">
              <w:rPr>
                <w:spacing w:val="-2"/>
              </w:rPr>
              <w:t>The technical and investigative aspects of digital forensics, focusing on evidence acquisition and forensic methodologies.</w:t>
            </w:r>
          </w:p>
        </w:tc>
      </w:tr>
      <w:tr w:rsidR="009A328B" w:rsidRPr="0068615A" w14:paraId="70751B95" w14:textId="77777777" w:rsidTr="06B5F436">
        <w:trPr>
          <w:tblCellSpacing w:w="15" w:type="dxa"/>
        </w:trPr>
        <w:tc>
          <w:tcPr>
            <w:tcW w:w="0" w:type="auto"/>
            <w:vAlign w:val="center"/>
            <w:hideMark/>
          </w:tcPr>
          <w:p w14:paraId="29AEE52A" w14:textId="77777777" w:rsidR="0068615A" w:rsidRPr="0068615A" w:rsidRDefault="0068615A" w:rsidP="0068615A">
            <w:pPr>
              <w:rPr>
                <w:spacing w:val="-2"/>
              </w:rPr>
            </w:pPr>
            <w:r w:rsidRPr="0068615A">
              <w:rPr>
                <w:spacing w:val="-2"/>
              </w:rPr>
              <w:t>Approach</w:t>
            </w:r>
          </w:p>
        </w:tc>
        <w:tc>
          <w:tcPr>
            <w:tcW w:w="0" w:type="auto"/>
            <w:vAlign w:val="center"/>
            <w:hideMark/>
          </w:tcPr>
          <w:p w14:paraId="359A3D5F" w14:textId="77777777" w:rsidR="0068615A" w:rsidRPr="0068615A" w:rsidRDefault="0068615A" w:rsidP="0068615A">
            <w:pPr>
              <w:rPr>
                <w:spacing w:val="-2"/>
              </w:rPr>
            </w:pPr>
            <w:r w:rsidRPr="009A328B">
              <w:rPr>
                <w:spacing w:val="-2"/>
                <w:highlight w:val="yellow"/>
              </w:rPr>
              <w:t>Non-technical, examining forensic methodologies through the lens of data privacy, compliance, and legal frameworks</w:t>
            </w:r>
            <w:r w:rsidRPr="0068615A">
              <w:rPr>
                <w:spacing w:val="-2"/>
              </w:rPr>
              <w:t>.</w:t>
            </w:r>
          </w:p>
        </w:tc>
        <w:tc>
          <w:tcPr>
            <w:tcW w:w="0" w:type="auto"/>
            <w:vAlign w:val="center"/>
            <w:hideMark/>
          </w:tcPr>
          <w:p w14:paraId="7931396E" w14:textId="77777777" w:rsidR="0068615A" w:rsidRPr="0068615A" w:rsidRDefault="0068615A" w:rsidP="0068615A">
            <w:pPr>
              <w:rPr>
                <w:spacing w:val="-2"/>
              </w:rPr>
            </w:pPr>
            <w:r w:rsidRPr="009A328B">
              <w:rPr>
                <w:spacing w:val="-2"/>
                <w:highlight w:val="yellow"/>
              </w:rPr>
              <w:t>Technical and investigative, covering forensic procedures, evidence handling, and forensic tools</w:t>
            </w:r>
            <w:r w:rsidRPr="0068615A">
              <w:rPr>
                <w:spacing w:val="-2"/>
              </w:rPr>
              <w:t>.</w:t>
            </w:r>
          </w:p>
        </w:tc>
      </w:tr>
      <w:tr w:rsidR="009A328B" w:rsidRPr="0068615A" w14:paraId="3DA9C7CF" w14:textId="77777777" w:rsidTr="06B5F436">
        <w:trPr>
          <w:tblCellSpacing w:w="15" w:type="dxa"/>
        </w:trPr>
        <w:tc>
          <w:tcPr>
            <w:tcW w:w="0" w:type="auto"/>
            <w:vAlign w:val="center"/>
            <w:hideMark/>
          </w:tcPr>
          <w:p w14:paraId="57B00F40" w14:textId="77777777" w:rsidR="0068615A" w:rsidRPr="0068615A" w:rsidRDefault="0068615A" w:rsidP="0068615A">
            <w:pPr>
              <w:rPr>
                <w:spacing w:val="-2"/>
              </w:rPr>
            </w:pPr>
            <w:r w:rsidRPr="0068615A">
              <w:rPr>
                <w:spacing w:val="-2"/>
              </w:rPr>
              <w:t>Key Topics</w:t>
            </w:r>
          </w:p>
        </w:tc>
        <w:tc>
          <w:tcPr>
            <w:tcW w:w="0" w:type="auto"/>
            <w:vAlign w:val="center"/>
            <w:hideMark/>
          </w:tcPr>
          <w:p w14:paraId="1845E84A" w14:textId="57697B1D" w:rsidR="0068615A" w:rsidRPr="0068615A" w:rsidRDefault="0068615A" w:rsidP="0068615A">
            <w:pPr>
              <w:rPr>
                <w:spacing w:val="-2"/>
              </w:rPr>
            </w:pPr>
            <w:r w:rsidRPr="0068615A">
              <w:rPr>
                <w:spacing w:val="-2"/>
              </w:rPr>
              <w:t>Evidence acquisition and preservation, privacy-enhancing forensic methods, data minimization, encryption, anonymization, compliance with privacy laws.</w:t>
            </w:r>
          </w:p>
        </w:tc>
        <w:tc>
          <w:tcPr>
            <w:tcW w:w="0" w:type="auto"/>
            <w:vAlign w:val="center"/>
            <w:hideMark/>
          </w:tcPr>
          <w:p w14:paraId="4CED10C9" w14:textId="1D3ABB6F" w:rsidR="0068615A" w:rsidRPr="0068615A" w:rsidRDefault="0068615A" w:rsidP="0068615A">
            <w:r w:rsidRPr="0068615A">
              <w:rPr>
                <w:spacing w:val="-2"/>
              </w:rPr>
              <w:t>Computer forensics investigation techniques, forensic laws and regulations, file system and memory analysis, network logs, registry forensics</w:t>
            </w:r>
            <w:r w:rsidR="00FA4352">
              <w:rPr>
                <w:spacing w:val="-2"/>
              </w:rPr>
              <w:t xml:space="preserve"> with a primary focus on evidence handling and </w:t>
            </w:r>
            <w:r w:rsidR="009A328B">
              <w:rPr>
                <w:spacing w:val="-2"/>
              </w:rPr>
              <w:t>expert witness testimony as it relates to Digital Forensics</w:t>
            </w:r>
            <w:r w:rsidRPr="0068615A">
              <w:rPr>
                <w:spacing w:val="-2"/>
              </w:rPr>
              <w:t>.</w:t>
            </w:r>
          </w:p>
        </w:tc>
      </w:tr>
      <w:tr w:rsidR="009A328B" w:rsidRPr="0068615A" w14:paraId="14760725" w14:textId="77777777" w:rsidTr="06B5F436">
        <w:trPr>
          <w:tblCellSpacing w:w="15" w:type="dxa"/>
        </w:trPr>
        <w:tc>
          <w:tcPr>
            <w:tcW w:w="0" w:type="auto"/>
            <w:vAlign w:val="center"/>
            <w:hideMark/>
          </w:tcPr>
          <w:p w14:paraId="35633368" w14:textId="77777777" w:rsidR="0068615A" w:rsidRPr="0068615A" w:rsidRDefault="0068615A" w:rsidP="0068615A">
            <w:pPr>
              <w:rPr>
                <w:spacing w:val="-2"/>
              </w:rPr>
            </w:pPr>
            <w:r w:rsidRPr="0068615A">
              <w:rPr>
                <w:spacing w:val="-2"/>
              </w:rPr>
              <w:t>Legal Considerations</w:t>
            </w:r>
          </w:p>
        </w:tc>
        <w:tc>
          <w:tcPr>
            <w:tcW w:w="0" w:type="auto"/>
            <w:vAlign w:val="center"/>
            <w:hideMark/>
          </w:tcPr>
          <w:p w14:paraId="39B7E324" w14:textId="77777777" w:rsidR="0068615A" w:rsidRPr="0068615A" w:rsidRDefault="0068615A" w:rsidP="0068615A">
            <w:pPr>
              <w:rPr>
                <w:spacing w:val="-2"/>
              </w:rPr>
            </w:pPr>
            <w:r w:rsidRPr="0068615A">
              <w:rPr>
                <w:spacing w:val="-2"/>
              </w:rPr>
              <w:t>Strong emphasis on data privacy regulations and forensic ethics in investigations.</w:t>
            </w:r>
          </w:p>
        </w:tc>
        <w:tc>
          <w:tcPr>
            <w:tcW w:w="0" w:type="auto"/>
            <w:vAlign w:val="center"/>
            <w:hideMark/>
          </w:tcPr>
          <w:p w14:paraId="5E91A50F" w14:textId="77777777" w:rsidR="0068615A" w:rsidRPr="0068615A" w:rsidRDefault="0068615A" w:rsidP="0068615A">
            <w:pPr>
              <w:rPr>
                <w:spacing w:val="-2"/>
              </w:rPr>
            </w:pPr>
            <w:proofErr w:type="gramStart"/>
            <w:r w:rsidRPr="0068615A">
              <w:rPr>
                <w:spacing w:val="-2"/>
              </w:rPr>
              <w:t>Covers</w:t>
            </w:r>
            <w:proofErr w:type="gramEnd"/>
            <w:r w:rsidRPr="0068615A">
              <w:rPr>
                <w:spacing w:val="-2"/>
              </w:rPr>
              <w:t xml:space="preserve"> legal issues but primarily focuses on forensic evidence handling and investigative practices.</w:t>
            </w:r>
          </w:p>
        </w:tc>
      </w:tr>
      <w:tr w:rsidR="009A328B" w:rsidRPr="0068615A" w14:paraId="1AB3259E" w14:textId="77777777" w:rsidTr="06B5F436">
        <w:trPr>
          <w:tblCellSpacing w:w="15" w:type="dxa"/>
        </w:trPr>
        <w:tc>
          <w:tcPr>
            <w:tcW w:w="0" w:type="auto"/>
            <w:vAlign w:val="center"/>
            <w:hideMark/>
          </w:tcPr>
          <w:p w14:paraId="0EFCCFFD" w14:textId="77777777" w:rsidR="0068615A" w:rsidRPr="0068615A" w:rsidRDefault="0068615A" w:rsidP="0068615A">
            <w:pPr>
              <w:rPr>
                <w:spacing w:val="-2"/>
              </w:rPr>
            </w:pPr>
            <w:r w:rsidRPr="0068615A">
              <w:rPr>
                <w:spacing w:val="-2"/>
              </w:rPr>
              <w:t>Technical Depth</w:t>
            </w:r>
          </w:p>
        </w:tc>
        <w:tc>
          <w:tcPr>
            <w:tcW w:w="0" w:type="auto"/>
            <w:vAlign w:val="center"/>
            <w:hideMark/>
          </w:tcPr>
          <w:p w14:paraId="13C3E392" w14:textId="77777777" w:rsidR="0068615A" w:rsidRPr="0068615A" w:rsidRDefault="0068615A" w:rsidP="0068615A">
            <w:pPr>
              <w:rPr>
                <w:spacing w:val="-2"/>
              </w:rPr>
            </w:pPr>
            <w:r w:rsidRPr="0068615A">
              <w:rPr>
                <w:spacing w:val="-2"/>
              </w:rPr>
              <w:t xml:space="preserve">Covers forensic tools and methodologies but </w:t>
            </w:r>
            <w:proofErr w:type="gramStart"/>
            <w:r w:rsidRPr="0068615A">
              <w:rPr>
                <w:spacing w:val="-2"/>
              </w:rPr>
              <w:t>focuses</w:t>
            </w:r>
            <w:proofErr w:type="gramEnd"/>
            <w:r w:rsidRPr="0068615A">
              <w:rPr>
                <w:spacing w:val="-2"/>
              </w:rPr>
              <w:t xml:space="preserve"> more on the privacy implications of forensic investigations.</w:t>
            </w:r>
          </w:p>
        </w:tc>
        <w:tc>
          <w:tcPr>
            <w:tcW w:w="0" w:type="auto"/>
            <w:vAlign w:val="center"/>
            <w:hideMark/>
          </w:tcPr>
          <w:p w14:paraId="5CFE1687" w14:textId="77777777" w:rsidR="0068615A" w:rsidRPr="0068615A" w:rsidRDefault="0068615A" w:rsidP="0068615A">
            <w:pPr>
              <w:rPr>
                <w:spacing w:val="-2"/>
              </w:rPr>
            </w:pPr>
            <w:r w:rsidRPr="0068615A">
              <w:rPr>
                <w:spacing w:val="-2"/>
              </w:rPr>
              <w:t>Strong technical emphasis, including open-source and commercial forensic tools and evidence recovery practices.</w:t>
            </w:r>
          </w:p>
        </w:tc>
      </w:tr>
      <w:tr w:rsidR="009A328B" w:rsidRPr="0068615A" w14:paraId="6F71F974" w14:textId="77777777" w:rsidTr="06B5F436">
        <w:trPr>
          <w:tblCellSpacing w:w="15" w:type="dxa"/>
        </w:trPr>
        <w:tc>
          <w:tcPr>
            <w:tcW w:w="0" w:type="auto"/>
            <w:vAlign w:val="center"/>
            <w:hideMark/>
          </w:tcPr>
          <w:p w14:paraId="65B6D971" w14:textId="77777777" w:rsidR="0068615A" w:rsidRPr="0068615A" w:rsidRDefault="0068615A" w:rsidP="0068615A">
            <w:pPr>
              <w:rPr>
                <w:spacing w:val="-2"/>
              </w:rPr>
            </w:pPr>
            <w:r w:rsidRPr="0068615A">
              <w:rPr>
                <w:spacing w:val="-2"/>
              </w:rPr>
              <w:t>Hands-on Components</w:t>
            </w:r>
          </w:p>
        </w:tc>
        <w:tc>
          <w:tcPr>
            <w:tcW w:w="0" w:type="auto"/>
            <w:vAlign w:val="center"/>
            <w:hideMark/>
          </w:tcPr>
          <w:p w14:paraId="32C0A2FC" w14:textId="77777777" w:rsidR="0068615A" w:rsidRPr="0068615A" w:rsidRDefault="0068615A" w:rsidP="0068615A">
            <w:pPr>
              <w:rPr>
                <w:spacing w:val="-2"/>
              </w:rPr>
            </w:pPr>
            <w:r w:rsidRPr="0068615A">
              <w:rPr>
                <w:spacing w:val="-2"/>
              </w:rPr>
              <w:t>Students analyze forensic scenarios with a focus on privacy protection, data anonymization, and regulatory compliance.</w:t>
            </w:r>
          </w:p>
        </w:tc>
        <w:tc>
          <w:tcPr>
            <w:tcW w:w="0" w:type="auto"/>
            <w:vAlign w:val="center"/>
            <w:hideMark/>
          </w:tcPr>
          <w:p w14:paraId="23397CB5" w14:textId="77777777" w:rsidR="0068615A" w:rsidRPr="0068615A" w:rsidRDefault="0068615A" w:rsidP="0068615A">
            <w:pPr>
              <w:rPr>
                <w:spacing w:val="-2"/>
              </w:rPr>
            </w:pPr>
            <w:r w:rsidRPr="0068615A">
              <w:rPr>
                <w:spacing w:val="-2"/>
              </w:rPr>
              <w:t>Hands-on forensic investigations involving file systems, memory analysis, and forensic tools, with a special focus on Windows systems and networks.</w:t>
            </w:r>
          </w:p>
        </w:tc>
      </w:tr>
    </w:tbl>
    <w:p w14:paraId="6B00D59C" w14:textId="77777777" w:rsidR="0071164A" w:rsidRDefault="00000000" w:rsidP="0068615A">
      <w:pPr>
        <w:rPr>
          <w:spacing w:val="-2"/>
          <w:sz w:val="24"/>
        </w:rPr>
      </w:pPr>
      <w:r>
        <w:rPr>
          <w:spacing w:val="-2"/>
          <w:sz w:val="24"/>
        </w:rPr>
        <w:lastRenderedPageBreak/>
        <w:pict w14:anchorId="347BB42D">
          <v:rect id="_x0000_i1025" style="width:0;height:1.5pt" o:hralign="center" o:hrstd="t" o:hr="t" fillcolor="#a0a0a0" stroked="f"/>
        </w:pict>
      </w:r>
    </w:p>
    <w:p w14:paraId="438EE407" w14:textId="77777777" w:rsidR="0068615A" w:rsidRDefault="0068615A"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000000"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572A9F">
              <w:rPr>
                <w:spacing w:val="-2"/>
                <w:sz w:val="24"/>
              </w:rPr>
              <w:t>DSU will add this course into the rotation with current</w:t>
            </w:r>
            <w:r w:rsidR="009B039C">
              <w:rPr>
                <w:spacing w:val="-2"/>
                <w:sz w:val="24"/>
              </w:rPr>
              <w:t xml:space="preserve"> and newly hired faculty with this expertise.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5934DD80"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5618DF">
        <w:rPr>
          <w:spacing w:val="-2"/>
          <w:sz w:val="24"/>
        </w:rPr>
        <w:t xml:space="preserve">Required in the MS in </w:t>
      </w:r>
      <w:r w:rsidR="00A41061">
        <w:rPr>
          <w:spacing w:val="-2"/>
          <w:sz w:val="24"/>
        </w:rPr>
        <w:t>Data Privacy.</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02ECECBB"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proofErr w:type="gramStart"/>
      <w:r w:rsidRPr="008B5F67">
        <w:rPr>
          <w:spacing w:val="-2"/>
          <w:sz w:val="24"/>
        </w:rPr>
        <w:t>:</w:t>
      </w:r>
      <w:r w:rsidR="00DF1D6F">
        <w:rPr>
          <w:spacing w:val="-2"/>
          <w:sz w:val="24"/>
        </w:rPr>
        <w:t xml:space="preserve">  </w:t>
      </w:r>
      <w:r w:rsidR="006B19AD">
        <w:rPr>
          <w:spacing w:val="-2"/>
          <w:sz w:val="24"/>
        </w:rPr>
        <w:t>Spring</w:t>
      </w:r>
      <w:proofErr w:type="gramEnd"/>
      <w:r w:rsidR="006B19AD">
        <w:rPr>
          <w:spacing w:val="-2"/>
          <w:sz w:val="24"/>
        </w:rPr>
        <w:t xml:space="preserve"> 2026</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 xml:space="preserve">Will </w:t>
      </w:r>
      <w:proofErr w:type="gramStart"/>
      <w:r w:rsidRPr="008B5F67">
        <w:rPr>
          <w:b/>
          <w:spacing w:val="-2"/>
          <w:sz w:val="24"/>
        </w:rPr>
        <w:t>grade</w:t>
      </w:r>
      <w:proofErr w:type="gramEnd"/>
      <w:r w:rsidRPr="008B5F67">
        <w:rPr>
          <w:b/>
          <w:spacing w:val="-2"/>
          <w:sz w:val="24"/>
        </w:rPr>
        <w:t xml:space="preserv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lastRenderedPageBreak/>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 xml:space="preserve">If </w:t>
            </w:r>
            <w:proofErr w:type="gramStart"/>
            <w:r>
              <w:rPr>
                <w:i/>
                <w:spacing w:val="-2"/>
                <w:sz w:val="24"/>
              </w:rPr>
              <w:t>no</w:t>
            </w:r>
            <w:proofErr w:type="gramEnd"/>
            <w:r>
              <w:rPr>
                <w:i/>
                <w:spacing w:val="-2"/>
                <w:sz w:val="24"/>
              </w:rPr>
              <w:t xml:space="preserve">, provide </w:t>
            </w:r>
            <w:proofErr w:type="gramStart"/>
            <w:r>
              <w:rPr>
                <w:i/>
                <w:spacing w:val="-2"/>
                <w:sz w:val="24"/>
              </w:rPr>
              <w:t>a brief</w:t>
            </w:r>
            <w:proofErr w:type="gramEnd"/>
            <w:r>
              <w:rPr>
                <w:i/>
                <w:spacing w:val="-2"/>
                <w:sz w:val="24"/>
              </w:rPr>
              <w:t xml:space="preserve">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2B145D7A" w:rsidR="007264AF" w:rsidRDefault="002C70C1" w:rsidP="00EA74F7">
            <w:pPr>
              <w:rPr>
                <w:spacing w:val="-2"/>
                <w:sz w:val="24"/>
              </w:rPr>
            </w:pPr>
            <w:r>
              <w:rPr>
                <w:spacing w:val="-2"/>
                <w:sz w:val="24"/>
              </w:rPr>
              <w:t>Beacom College of Computer and Cyber Sciences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32F4E55B" w:rsidR="00151739" w:rsidRDefault="00943597" w:rsidP="009D19A4">
            <w:pPr>
              <w:rPr>
                <w:spacing w:val="-2"/>
                <w:sz w:val="24"/>
              </w:rPr>
            </w:pPr>
            <w:r>
              <w:rPr>
                <w:spacing w:val="-2"/>
                <w:sz w:val="24"/>
              </w:rPr>
              <w:t>D</w:t>
            </w:r>
            <w:r w:rsidR="002C70C1">
              <w:rPr>
                <w:spacing w:val="-2"/>
                <w:sz w:val="24"/>
              </w:rPr>
              <w:t>CS</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217E4A70" w:rsidR="004F67DD" w:rsidRDefault="00F37377" w:rsidP="00EA74F7">
            <w:pPr>
              <w:rPr>
                <w:spacing w:val="-2"/>
                <w:sz w:val="24"/>
              </w:rPr>
            </w:pPr>
            <w:r>
              <w:rPr>
                <w:spacing w:val="-2"/>
                <w:sz w:val="24"/>
              </w:rPr>
              <w:t>11.0701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97137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F3D8" w14:textId="77777777" w:rsidR="006E019A" w:rsidRDefault="006E019A" w:rsidP="00193C86">
      <w:r>
        <w:separator/>
      </w:r>
    </w:p>
  </w:endnote>
  <w:endnote w:type="continuationSeparator" w:id="0">
    <w:p w14:paraId="162B6D0E" w14:textId="77777777" w:rsidR="006E019A" w:rsidRDefault="006E019A" w:rsidP="00193C86">
      <w:r>
        <w:continuationSeparator/>
      </w:r>
    </w:p>
  </w:endnote>
  <w:endnote w:type="continuationNotice" w:id="1">
    <w:p w14:paraId="6E925D81" w14:textId="77777777" w:rsidR="006E019A" w:rsidRDefault="006E0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DB85B" w14:textId="77777777" w:rsidR="006E019A" w:rsidRDefault="006E019A" w:rsidP="00193C86">
      <w:r>
        <w:separator/>
      </w:r>
    </w:p>
  </w:footnote>
  <w:footnote w:type="continuationSeparator" w:id="0">
    <w:p w14:paraId="7CD32C96" w14:textId="77777777" w:rsidR="006E019A" w:rsidRDefault="006E019A" w:rsidP="00193C86">
      <w:r>
        <w:continuationSeparator/>
      </w:r>
    </w:p>
  </w:footnote>
  <w:footnote w:type="continuationNotice" w:id="1">
    <w:p w14:paraId="7542E0EF" w14:textId="77777777" w:rsidR="006E019A" w:rsidRDefault="006E0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215184">
    <w:abstractNumId w:val="5"/>
  </w:num>
  <w:num w:numId="2" w16cid:durableId="790704073">
    <w:abstractNumId w:val="4"/>
  </w:num>
  <w:num w:numId="3" w16cid:durableId="1559170337">
    <w:abstractNumId w:val="7"/>
  </w:num>
  <w:num w:numId="4" w16cid:durableId="1780563844">
    <w:abstractNumId w:val="3"/>
  </w:num>
  <w:num w:numId="5" w16cid:durableId="1606962115">
    <w:abstractNumId w:val="13"/>
  </w:num>
  <w:num w:numId="6" w16cid:durableId="228732389">
    <w:abstractNumId w:val="14"/>
  </w:num>
  <w:num w:numId="7" w16cid:durableId="1841431416">
    <w:abstractNumId w:val="1"/>
  </w:num>
  <w:num w:numId="8" w16cid:durableId="2056350857">
    <w:abstractNumId w:val="9"/>
  </w:num>
  <w:num w:numId="9" w16cid:durableId="18820504">
    <w:abstractNumId w:val="11"/>
  </w:num>
  <w:num w:numId="10" w16cid:durableId="1881700903">
    <w:abstractNumId w:val="12"/>
  </w:num>
  <w:num w:numId="11" w16cid:durableId="1011102887">
    <w:abstractNumId w:val="6"/>
  </w:num>
  <w:num w:numId="12" w16cid:durableId="1306550963">
    <w:abstractNumId w:val="10"/>
  </w:num>
  <w:num w:numId="13" w16cid:durableId="779227315">
    <w:abstractNumId w:val="2"/>
  </w:num>
  <w:num w:numId="14" w16cid:durableId="634607344">
    <w:abstractNumId w:val="0"/>
  </w:num>
  <w:num w:numId="15" w16cid:durableId="139450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23058"/>
    <w:rsid w:val="00024F3A"/>
    <w:rsid w:val="00030E7C"/>
    <w:rsid w:val="00034423"/>
    <w:rsid w:val="0004322D"/>
    <w:rsid w:val="000525C4"/>
    <w:rsid w:val="00055660"/>
    <w:rsid w:val="00061E70"/>
    <w:rsid w:val="000646A8"/>
    <w:rsid w:val="00075935"/>
    <w:rsid w:val="00076909"/>
    <w:rsid w:val="000B6EC4"/>
    <w:rsid w:val="000C7E66"/>
    <w:rsid w:val="001027BE"/>
    <w:rsid w:val="00103082"/>
    <w:rsid w:val="001106A4"/>
    <w:rsid w:val="00113F8D"/>
    <w:rsid w:val="0011645D"/>
    <w:rsid w:val="001212B6"/>
    <w:rsid w:val="00123FE8"/>
    <w:rsid w:val="00142F19"/>
    <w:rsid w:val="00145547"/>
    <w:rsid w:val="00151739"/>
    <w:rsid w:val="00155A55"/>
    <w:rsid w:val="00171D84"/>
    <w:rsid w:val="0018503F"/>
    <w:rsid w:val="00185BB9"/>
    <w:rsid w:val="00187FB9"/>
    <w:rsid w:val="00192FC1"/>
    <w:rsid w:val="00193C86"/>
    <w:rsid w:val="00194A20"/>
    <w:rsid w:val="00196B9C"/>
    <w:rsid w:val="001A099F"/>
    <w:rsid w:val="001A0A96"/>
    <w:rsid w:val="001B0006"/>
    <w:rsid w:val="001B218A"/>
    <w:rsid w:val="001B519C"/>
    <w:rsid w:val="001C213A"/>
    <w:rsid w:val="001C345E"/>
    <w:rsid w:val="001D1169"/>
    <w:rsid w:val="001D5E83"/>
    <w:rsid w:val="001E60AF"/>
    <w:rsid w:val="001F4591"/>
    <w:rsid w:val="00201122"/>
    <w:rsid w:val="002035E5"/>
    <w:rsid w:val="00205AC1"/>
    <w:rsid w:val="0021554F"/>
    <w:rsid w:val="00217036"/>
    <w:rsid w:val="00231053"/>
    <w:rsid w:val="00231663"/>
    <w:rsid w:val="00246DEC"/>
    <w:rsid w:val="00250F17"/>
    <w:rsid w:val="0025352E"/>
    <w:rsid w:val="00260CDE"/>
    <w:rsid w:val="002653D9"/>
    <w:rsid w:val="00265C64"/>
    <w:rsid w:val="00276D8D"/>
    <w:rsid w:val="00285247"/>
    <w:rsid w:val="00287FE5"/>
    <w:rsid w:val="002902C1"/>
    <w:rsid w:val="002936DD"/>
    <w:rsid w:val="002A2495"/>
    <w:rsid w:val="002A42B4"/>
    <w:rsid w:val="002A5427"/>
    <w:rsid w:val="002C27F8"/>
    <w:rsid w:val="002C2C59"/>
    <w:rsid w:val="002C5078"/>
    <w:rsid w:val="002C70C1"/>
    <w:rsid w:val="002D345B"/>
    <w:rsid w:val="002E67ED"/>
    <w:rsid w:val="002E74A1"/>
    <w:rsid w:val="00311BB3"/>
    <w:rsid w:val="0032349F"/>
    <w:rsid w:val="00326263"/>
    <w:rsid w:val="00327216"/>
    <w:rsid w:val="00330633"/>
    <w:rsid w:val="00342089"/>
    <w:rsid w:val="00354BF9"/>
    <w:rsid w:val="00377961"/>
    <w:rsid w:val="00385992"/>
    <w:rsid w:val="003943CC"/>
    <w:rsid w:val="00397468"/>
    <w:rsid w:val="003B51D1"/>
    <w:rsid w:val="003C2AA0"/>
    <w:rsid w:val="003C7D57"/>
    <w:rsid w:val="003D5429"/>
    <w:rsid w:val="003D57BA"/>
    <w:rsid w:val="003E69F8"/>
    <w:rsid w:val="004046B2"/>
    <w:rsid w:val="00414146"/>
    <w:rsid w:val="004143D0"/>
    <w:rsid w:val="00430148"/>
    <w:rsid w:val="00434733"/>
    <w:rsid w:val="00446C6D"/>
    <w:rsid w:val="00455D31"/>
    <w:rsid w:val="004561D0"/>
    <w:rsid w:val="00466BD5"/>
    <w:rsid w:val="00475797"/>
    <w:rsid w:val="00476F84"/>
    <w:rsid w:val="00482868"/>
    <w:rsid w:val="0048494C"/>
    <w:rsid w:val="0048543A"/>
    <w:rsid w:val="00496CDA"/>
    <w:rsid w:val="004A5C62"/>
    <w:rsid w:val="004A60FD"/>
    <w:rsid w:val="004A670F"/>
    <w:rsid w:val="004A78B2"/>
    <w:rsid w:val="004B7303"/>
    <w:rsid w:val="004C4A61"/>
    <w:rsid w:val="004D3083"/>
    <w:rsid w:val="004D522C"/>
    <w:rsid w:val="004D7B32"/>
    <w:rsid w:val="004E2E84"/>
    <w:rsid w:val="004E3811"/>
    <w:rsid w:val="004F27D6"/>
    <w:rsid w:val="004F67DD"/>
    <w:rsid w:val="004F72E5"/>
    <w:rsid w:val="0051775D"/>
    <w:rsid w:val="00522BAF"/>
    <w:rsid w:val="0053132B"/>
    <w:rsid w:val="0053781C"/>
    <w:rsid w:val="005379CF"/>
    <w:rsid w:val="005435B7"/>
    <w:rsid w:val="0054427B"/>
    <w:rsid w:val="005521A6"/>
    <w:rsid w:val="005526BD"/>
    <w:rsid w:val="00555023"/>
    <w:rsid w:val="005618DF"/>
    <w:rsid w:val="0057110A"/>
    <w:rsid w:val="00572A9F"/>
    <w:rsid w:val="005A7FA3"/>
    <w:rsid w:val="005B08CE"/>
    <w:rsid w:val="005E1A9C"/>
    <w:rsid w:val="005E37FC"/>
    <w:rsid w:val="005F5611"/>
    <w:rsid w:val="00603DBF"/>
    <w:rsid w:val="006261A9"/>
    <w:rsid w:val="0063414D"/>
    <w:rsid w:val="00637DFB"/>
    <w:rsid w:val="00643B0A"/>
    <w:rsid w:val="00653D2A"/>
    <w:rsid w:val="0068615A"/>
    <w:rsid w:val="006B19AD"/>
    <w:rsid w:val="006B3265"/>
    <w:rsid w:val="006D2A9F"/>
    <w:rsid w:val="006D4E72"/>
    <w:rsid w:val="006D708F"/>
    <w:rsid w:val="006E019A"/>
    <w:rsid w:val="006F23E0"/>
    <w:rsid w:val="006F3109"/>
    <w:rsid w:val="006F624A"/>
    <w:rsid w:val="00700B8D"/>
    <w:rsid w:val="00705A9C"/>
    <w:rsid w:val="00707D91"/>
    <w:rsid w:val="0071164A"/>
    <w:rsid w:val="007264AF"/>
    <w:rsid w:val="00727DC0"/>
    <w:rsid w:val="007311DD"/>
    <w:rsid w:val="00744CBF"/>
    <w:rsid w:val="00765244"/>
    <w:rsid w:val="00780450"/>
    <w:rsid w:val="0078147E"/>
    <w:rsid w:val="00795246"/>
    <w:rsid w:val="007A0FB1"/>
    <w:rsid w:val="007A4C65"/>
    <w:rsid w:val="007B167E"/>
    <w:rsid w:val="007C7DC8"/>
    <w:rsid w:val="007D6A8B"/>
    <w:rsid w:val="007E6532"/>
    <w:rsid w:val="007E6E7D"/>
    <w:rsid w:val="007F7484"/>
    <w:rsid w:val="00800981"/>
    <w:rsid w:val="00803B62"/>
    <w:rsid w:val="008074EE"/>
    <w:rsid w:val="00811DF0"/>
    <w:rsid w:val="0081257E"/>
    <w:rsid w:val="0081310A"/>
    <w:rsid w:val="00816214"/>
    <w:rsid w:val="008426E3"/>
    <w:rsid w:val="0084510C"/>
    <w:rsid w:val="0085055D"/>
    <w:rsid w:val="00854C5D"/>
    <w:rsid w:val="00877478"/>
    <w:rsid w:val="00886A30"/>
    <w:rsid w:val="00897B72"/>
    <w:rsid w:val="008A2109"/>
    <w:rsid w:val="008B5F67"/>
    <w:rsid w:val="008B6D38"/>
    <w:rsid w:val="008C046D"/>
    <w:rsid w:val="008C1371"/>
    <w:rsid w:val="008C6123"/>
    <w:rsid w:val="008D5DEE"/>
    <w:rsid w:val="008E2E7B"/>
    <w:rsid w:val="008E504E"/>
    <w:rsid w:val="008F0E6B"/>
    <w:rsid w:val="008F48F8"/>
    <w:rsid w:val="0090012F"/>
    <w:rsid w:val="009102CF"/>
    <w:rsid w:val="00941444"/>
    <w:rsid w:val="00943597"/>
    <w:rsid w:val="00953B1D"/>
    <w:rsid w:val="00954806"/>
    <w:rsid w:val="00960589"/>
    <w:rsid w:val="00964D4D"/>
    <w:rsid w:val="0097137C"/>
    <w:rsid w:val="00975DED"/>
    <w:rsid w:val="00982E18"/>
    <w:rsid w:val="00983396"/>
    <w:rsid w:val="00984186"/>
    <w:rsid w:val="0098433C"/>
    <w:rsid w:val="009844CF"/>
    <w:rsid w:val="009A016B"/>
    <w:rsid w:val="009A328B"/>
    <w:rsid w:val="009B039C"/>
    <w:rsid w:val="009B1131"/>
    <w:rsid w:val="009B7343"/>
    <w:rsid w:val="009C3CA8"/>
    <w:rsid w:val="009D05E2"/>
    <w:rsid w:val="009D155F"/>
    <w:rsid w:val="009D7BC5"/>
    <w:rsid w:val="009E333B"/>
    <w:rsid w:val="009E463E"/>
    <w:rsid w:val="009F02C0"/>
    <w:rsid w:val="009F2BCE"/>
    <w:rsid w:val="009F3141"/>
    <w:rsid w:val="009F3363"/>
    <w:rsid w:val="00A01B42"/>
    <w:rsid w:val="00A01CD3"/>
    <w:rsid w:val="00A071F4"/>
    <w:rsid w:val="00A14FB9"/>
    <w:rsid w:val="00A2180D"/>
    <w:rsid w:val="00A24C0C"/>
    <w:rsid w:val="00A3328E"/>
    <w:rsid w:val="00A34D50"/>
    <w:rsid w:val="00A3769E"/>
    <w:rsid w:val="00A41061"/>
    <w:rsid w:val="00A4711D"/>
    <w:rsid w:val="00A4761A"/>
    <w:rsid w:val="00A54B6F"/>
    <w:rsid w:val="00A71DC6"/>
    <w:rsid w:val="00A776C9"/>
    <w:rsid w:val="00A82EBC"/>
    <w:rsid w:val="00A839E0"/>
    <w:rsid w:val="00AA0883"/>
    <w:rsid w:val="00AA38EF"/>
    <w:rsid w:val="00AA411D"/>
    <w:rsid w:val="00AA6ED7"/>
    <w:rsid w:val="00AC30B9"/>
    <w:rsid w:val="00AE0973"/>
    <w:rsid w:val="00AE2164"/>
    <w:rsid w:val="00AF68AC"/>
    <w:rsid w:val="00AF69A7"/>
    <w:rsid w:val="00B14FF5"/>
    <w:rsid w:val="00B17DC4"/>
    <w:rsid w:val="00B22470"/>
    <w:rsid w:val="00B2535B"/>
    <w:rsid w:val="00B409F2"/>
    <w:rsid w:val="00B40BEC"/>
    <w:rsid w:val="00B451C9"/>
    <w:rsid w:val="00B552B9"/>
    <w:rsid w:val="00B5594A"/>
    <w:rsid w:val="00B607D6"/>
    <w:rsid w:val="00B642EC"/>
    <w:rsid w:val="00B65188"/>
    <w:rsid w:val="00B67BB9"/>
    <w:rsid w:val="00B72F25"/>
    <w:rsid w:val="00B7745A"/>
    <w:rsid w:val="00B81C7C"/>
    <w:rsid w:val="00B86A8B"/>
    <w:rsid w:val="00B9336A"/>
    <w:rsid w:val="00B94ED9"/>
    <w:rsid w:val="00B9591C"/>
    <w:rsid w:val="00B9714A"/>
    <w:rsid w:val="00BB0F8B"/>
    <w:rsid w:val="00BB449D"/>
    <w:rsid w:val="00BB6B45"/>
    <w:rsid w:val="00BD4589"/>
    <w:rsid w:val="00BE4F72"/>
    <w:rsid w:val="00BE5E91"/>
    <w:rsid w:val="00BE7259"/>
    <w:rsid w:val="00BF38D3"/>
    <w:rsid w:val="00C06D5C"/>
    <w:rsid w:val="00C06DEE"/>
    <w:rsid w:val="00C27D22"/>
    <w:rsid w:val="00C32162"/>
    <w:rsid w:val="00C33A19"/>
    <w:rsid w:val="00C342BB"/>
    <w:rsid w:val="00C73553"/>
    <w:rsid w:val="00C771B8"/>
    <w:rsid w:val="00C80698"/>
    <w:rsid w:val="00C963FB"/>
    <w:rsid w:val="00C979A7"/>
    <w:rsid w:val="00CA1E07"/>
    <w:rsid w:val="00CA6A8B"/>
    <w:rsid w:val="00CB0E93"/>
    <w:rsid w:val="00CB4BA4"/>
    <w:rsid w:val="00CC316B"/>
    <w:rsid w:val="00CC323C"/>
    <w:rsid w:val="00CC553B"/>
    <w:rsid w:val="00CD19F6"/>
    <w:rsid w:val="00CE2C1F"/>
    <w:rsid w:val="00CF0476"/>
    <w:rsid w:val="00CF10B4"/>
    <w:rsid w:val="00CF76B9"/>
    <w:rsid w:val="00D008E3"/>
    <w:rsid w:val="00D00D43"/>
    <w:rsid w:val="00D0331E"/>
    <w:rsid w:val="00D10914"/>
    <w:rsid w:val="00D2387D"/>
    <w:rsid w:val="00D24DA1"/>
    <w:rsid w:val="00D25119"/>
    <w:rsid w:val="00D27F10"/>
    <w:rsid w:val="00D3098B"/>
    <w:rsid w:val="00D371E4"/>
    <w:rsid w:val="00D43477"/>
    <w:rsid w:val="00D45CE1"/>
    <w:rsid w:val="00D52CB6"/>
    <w:rsid w:val="00D66B32"/>
    <w:rsid w:val="00D66FF9"/>
    <w:rsid w:val="00D813B5"/>
    <w:rsid w:val="00D825C2"/>
    <w:rsid w:val="00D86102"/>
    <w:rsid w:val="00D863E4"/>
    <w:rsid w:val="00DA4824"/>
    <w:rsid w:val="00DA770F"/>
    <w:rsid w:val="00DB2BC6"/>
    <w:rsid w:val="00DB5084"/>
    <w:rsid w:val="00DB6F5F"/>
    <w:rsid w:val="00DD158A"/>
    <w:rsid w:val="00DD1716"/>
    <w:rsid w:val="00DE12ED"/>
    <w:rsid w:val="00DE38CC"/>
    <w:rsid w:val="00DE3D36"/>
    <w:rsid w:val="00DE511C"/>
    <w:rsid w:val="00DF1D6F"/>
    <w:rsid w:val="00E15C71"/>
    <w:rsid w:val="00E16827"/>
    <w:rsid w:val="00E24236"/>
    <w:rsid w:val="00E25AAB"/>
    <w:rsid w:val="00E31280"/>
    <w:rsid w:val="00E37F4E"/>
    <w:rsid w:val="00E51918"/>
    <w:rsid w:val="00E521B7"/>
    <w:rsid w:val="00E555AA"/>
    <w:rsid w:val="00E67856"/>
    <w:rsid w:val="00E749AE"/>
    <w:rsid w:val="00E80AE8"/>
    <w:rsid w:val="00E816A1"/>
    <w:rsid w:val="00E9297D"/>
    <w:rsid w:val="00EA044B"/>
    <w:rsid w:val="00EA66E9"/>
    <w:rsid w:val="00EA74F7"/>
    <w:rsid w:val="00EE4330"/>
    <w:rsid w:val="00F01C5B"/>
    <w:rsid w:val="00F10D39"/>
    <w:rsid w:val="00F11698"/>
    <w:rsid w:val="00F134AE"/>
    <w:rsid w:val="00F16ABE"/>
    <w:rsid w:val="00F23B94"/>
    <w:rsid w:val="00F31754"/>
    <w:rsid w:val="00F37377"/>
    <w:rsid w:val="00F37BFE"/>
    <w:rsid w:val="00F626D4"/>
    <w:rsid w:val="00F75CDA"/>
    <w:rsid w:val="00F767A5"/>
    <w:rsid w:val="00F81D01"/>
    <w:rsid w:val="00F84D99"/>
    <w:rsid w:val="00F90202"/>
    <w:rsid w:val="00FA2CD6"/>
    <w:rsid w:val="00FA4352"/>
    <w:rsid w:val="00FC41D3"/>
    <w:rsid w:val="00FC5F66"/>
    <w:rsid w:val="00FC758F"/>
    <w:rsid w:val="00FD068B"/>
    <w:rsid w:val="00FE07BB"/>
    <w:rsid w:val="00FE1858"/>
    <w:rsid w:val="00FE2883"/>
    <w:rsid w:val="00FE4528"/>
    <w:rsid w:val="06B5F436"/>
    <w:rsid w:val="58AC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 w:type="paragraph" w:customStyle="1" w:styleId="pf0">
    <w:name w:val="pf0"/>
    <w:basedOn w:val="Normal"/>
    <w:rsid w:val="0071164A"/>
    <w:pPr>
      <w:spacing w:before="100" w:beforeAutospacing="1" w:after="100" w:afterAutospacing="1"/>
    </w:pPr>
    <w:rPr>
      <w:sz w:val="24"/>
      <w:szCs w:val="24"/>
    </w:rPr>
  </w:style>
  <w:style w:type="character" w:customStyle="1" w:styleId="cf01">
    <w:name w:val="cf01"/>
    <w:basedOn w:val="DefaultParagraphFont"/>
    <w:rsid w:val="007116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4651">
      <w:bodyDiv w:val="1"/>
      <w:marLeft w:val="0"/>
      <w:marRight w:val="0"/>
      <w:marTop w:val="0"/>
      <w:marBottom w:val="0"/>
      <w:divBdr>
        <w:top w:val="none" w:sz="0" w:space="0" w:color="auto"/>
        <w:left w:val="none" w:sz="0" w:space="0" w:color="auto"/>
        <w:bottom w:val="none" w:sz="0" w:space="0" w:color="auto"/>
        <w:right w:val="none" w:sz="0" w:space="0" w:color="auto"/>
      </w:divBdr>
    </w:div>
    <w:div w:id="357391725">
      <w:bodyDiv w:val="1"/>
      <w:marLeft w:val="0"/>
      <w:marRight w:val="0"/>
      <w:marTop w:val="0"/>
      <w:marBottom w:val="0"/>
      <w:divBdr>
        <w:top w:val="none" w:sz="0" w:space="0" w:color="auto"/>
        <w:left w:val="none" w:sz="0" w:space="0" w:color="auto"/>
        <w:bottom w:val="none" w:sz="0" w:space="0" w:color="auto"/>
        <w:right w:val="none" w:sz="0" w:space="0" w:color="auto"/>
      </w:divBdr>
    </w:div>
    <w:div w:id="708262475">
      <w:bodyDiv w:val="1"/>
      <w:marLeft w:val="0"/>
      <w:marRight w:val="0"/>
      <w:marTop w:val="0"/>
      <w:marBottom w:val="0"/>
      <w:divBdr>
        <w:top w:val="none" w:sz="0" w:space="0" w:color="auto"/>
        <w:left w:val="none" w:sz="0" w:space="0" w:color="auto"/>
        <w:bottom w:val="none" w:sz="0" w:space="0" w:color="auto"/>
        <w:right w:val="none" w:sz="0" w:space="0" w:color="auto"/>
      </w:divBdr>
      <w:divsChild>
        <w:div w:id="958797716">
          <w:marLeft w:val="0"/>
          <w:marRight w:val="0"/>
          <w:marTop w:val="0"/>
          <w:marBottom w:val="0"/>
          <w:divBdr>
            <w:top w:val="none" w:sz="0" w:space="0" w:color="auto"/>
            <w:left w:val="none" w:sz="0" w:space="0" w:color="auto"/>
            <w:bottom w:val="none" w:sz="0" w:space="0" w:color="auto"/>
            <w:right w:val="none" w:sz="0" w:space="0" w:color="auto"/>
          </w:divBdr>
        </w:div>
      </w:divsChild>
    </w:div>
    <w:div w:id="780538019">
      <w:bodyDiv w:val="1"/>
      <w:marLeft w:val="0"/>
      <w:marRight w:val="0"/>
      <w:marTop w:val="0"/>
      <w:marBottom w:val="0"/>
      <w:divBdr>
        <w:top w:val="none" w:sz="0" w:space="0" w:color="auto"/>
        <w:left w:val="none" w:sz="0" w:space="0" w:color="auto"/>
        <w:bottom w:val="none" w:sz="0" w:space="0" w:color="auto"/>
        <w:right w:val="none" w:sz="0" w:space="0" w:color="auto"/>
      </w:divBdr>
    </w:div>
    <w:div w:id="808862465">
      <w:bodyDiv w:val="1"/>
      <w:marLeft w:val="0"/>
      <w:marRight w:val="0"/>
      <w:marTop w:val="0"/>
      <w:marBottom w:val="0"/>
      <w:divBdr>
        <w:top w:val="none" w:sz="0" w:space="0" w:color="auto"/>
        <w:left w:val="none" w:sz="0" w:space="0" w:color="auto"/>
        <w:bottom w:val="none" w:sz="0" w:space="0" w:color="auto"/>
        <w:right w:val="none" w:sz="0" w:space="0" w:color="auto"/>
      </w:divBdr>
    </w:div>
    <w:div w:id="820735265">
      <w:bodyDiv w:val="1"/>
      <w:marLeft w:val="0"/>
      <w:marRight w:val="0"/>
      <w:marTop w:val="0"/>
      <w:marBottom w:val="0"/>
      <w:divBdr>
        <w:top w:val="none" w:sz="0" w:space="0" w:color="auto"/>
        <w:left w:val="none" w:sz="0" w:space="0" w:color="auto"/>
        <w:bottom w:val="none" w:sz="0" w:space="0" w:color="auto"/>
        <w:right w:val="none" w:sz="0" w:space="0" w:color="auto"/>
      </w:divBdr>
    </w:div>
    <w:div w:id="829951230">
      <w:bodyDiv w:val="1"/>
      <w:marLeft w:val="0"/>
      <w:marRight w:val="0"/>
      <w:marTop w:val="0"/>
      <w:marBottom w:val="0"/>
      <w:divBdr>
        <w:top w:val="none" w:sz="0" w:space="0" w:color="auto"/>
        <w:left w:val="none" w:sz="0" w:space="0" w:color="auto"/>
        <w:bottom w:val="none" w:sz="0" w:space="0" w:color="auto"/>
        <w:right w:val="none" w:sz="0" w:space="0" w:color="auto"/>
      </w:divBdr>
    </w:div>
    <w:div w:id="892735128">
      <w:bodyDiv w:val="1"/>
      <w:marLeft w:val="0"/>
      <w:marRight w:val="0"/>
      <w:marTop w:val="0"/>
      <w:marBottom w:val="0"/>
      <w:divBdr>
        <w:top w:val="none" w:sz="0" w:space="0" w:color="auto"/>
        <w:left w:val="none" w:sz="0" w:space="0" w:color="auto"/>
        <w:bottom w:val="none" w:sz="0" w:space="0" w:color="auto"/>
        <w:right w:val="none" w:sz="0" w:space="0" w:color="auto"/>
      </w:divBdr>
    </w:div>
    <w:div w:id="1170026649">
      <w:bodyDiv w:val="1"/>
      <w:marLeft w:val="0"/>
      <w:marRight w:val="0"/>
      <w:marTop w:val="0"/>
      <w:marBottom w:val="0"/>
      <w:divBdr>
        <w:top w:val="none" w:sz="0" w:space="0" w:color="auto"/>
        <w:left w:val="none" w:sz="0" w:space="0" w:color="auto"/>
        <w:bottom w:val="none" w:sz="0" w:space="0" w:color="auto"/>
        <w:right w:val="none" w:sz="0" w:space="0" w:color="auto"/>
      </w:divBdr>
    </w:div>
    <w:div w:id="1283072420">
      <w:bodyDiv w:val="1"/>
      <w:marLeft w:val="0"/>
      <w:marRight w:val="0"/>
      <w:marTop w:val="0"/>
      <w:marBottom w:val="0"/>
      <w:divBdr>
        <w:top w:val="none" w:sz="0" w:space="0" w:color="auto"/>
        <w:left w:val="none" w:sz="0" w:space="0" w:color="auto"/>
        <w:bottom w:val="none" w:sz="0" w:space="0" w:color="auto"/>
        <w:right w:val="none" w:sz="0" w:space="0" w:color="auto"/>
      </w:divBdr>
    </w:div>
    <w:div w:id="1627465335">
      <w:bodyDiv w:val="1"/>
      <w:marLeft w:val="0"/>
      <w:marRight w:val="0"/>
      <w:marTop w:val="0"/>
      <w:marBottom w:val="0"/>
      <w:divBdr>
        <w:top w:val="none" w:sz="0" w:space="0" w:color="auto"/>
        <w:left w:val="none" w:sz="0" w:space="0" w:color="auto"/>
        <w:bottom w:val="none" w:sz="0" w:space="0" w:color="auto"/>
        <w:right w:val="none" w:sz="0" w:space="0" w:color="auto"/>
      </w:divBdr>
      <w:divsChild>
        <w:div w:id="488599202">
          <w:marLeft w:val="0"/>
          <w:marRight w:val="0"/>
          <w:marTop w:val="0"/>
          <w:marBottom w:val="0"/>
          <w:divBdr>
            <w:top w:val="none" w:sz="0" w:space="0" w:color="auto"/>
            <w:left w:val="none" w:sz="0" w:space="0" w:color="auto"/>
            <w:bottom w:val="none" w:sz="0" w:space="0" w:color="auto"/>
            <w:right w:val="none" w:sz="0" w:space="0" w:color="auto"/>
          </w:divBdr>
        </w:div>
      </w:divsChild>
    </w:div>
    <w:div w:id="1679968212">
      <w:bodyDiv w:val="1"/>
      <w:marLeft w:val="0"/>
      <w:marRight w:val="0"/>
      <w:marTop w:val="0"/>
      <w:marBottom w:val="0"/>
      <w:divBdr>
        <w:top w:val="none" w:sz="0" w:space="0" w:color="auto"/>
        <w:left w:val="none" w:sz="0" w:space="0" w:color="auto"/>
        <w:bottom w:val="none" w:sz="0" w:space="0" w:color="auto"/>
        <w:right w:val="none" w:sz="0" w:space="0" w:color="auto"/>
      </w:divBdr>
    </w:div>
    <w:div w:id="1797987203">
      <w:bodyDiv w:val="1"/>
      <w:marLeft w:val="0"/>
      <w:marRight w:val="0"/>
      <w:marTop w:val="0"/>
      <w:marBottom w:val="0"/>
      <w:divBdr>
        <w:top w:val="none" w:sz="0" w:space="0" w:color="auto"/>
        <w:left w:val="none" w:sz="0" w:space="0" w:color="auto"/>
        <w:bottom w:val="none" w:sz="0" w:space="0" w:color="auto"/>
        <w:right w:val="none" w:sz="0" w:space="0" w:color="auto"/>
      </w:divBdr>
    </w:div>
    <w:div w:id="1813135404">
      <w:bodyDiv w:val="1"/>
      <w:marLeft w:val="0"/>
      <w:marRight w:val="0"/>
      <w:marTop w:val="0"/>
      <w:marBottom w:val="0"/>
      <w:divBdr>
        <w:top w:val="none" w:sz="0" w:space="0" w:color="auto"/>
        <w:left w:val="none" w:sz="0" w:space="0" w:color="auto"/>
        <w:bottom w:val="none" w:sz="0" w:space="0" w:color="auto"/>
        <w:right w:val="none" w:sz="0" w:space="0" w:color="auto"/>
      </w:divBdr>
    </w:div>
    <w:div w:id="18428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525C4"/>
    <w:rsid w:val="000A64A8"/>
    <w:rsid w:val="000D0234"/>
    <w:rsid w:val="00196B9C"/>
    <w:rsid w:val="0021554F"/>
    <w:rsid w:val="002653D9"/>
    <w:rsid w:val="00271C11"/>
    <w:rsid w:val="00327216"/>
    <w:rsid w:val="00355534"/>
    <w:rsid w:val="003F6B08"/>
    <w:rsid w:val="00404DCE"/>
    <w:rsid w:val="004A60FD"/>
    <w:rsid w:val="004E0AA6"/>
    <w:rsid w:val="005573C1"/>
    <w:rsid w:val="005B2D05"/>
    <w:rsid w:val="00670630"/>
    <w:rsid w:val="009B1131"/>
    <w:rsid w:val="00A00CC9"/>
    <w:rsid w:val="00A82EBC"/>
    <w:rsid w:val="00B64ECC"/>
    <w:rsid w:val="00D24DA1"/>
    <w:rsid w:val="00DE38CC"/>
    <w:rsid w:val="00F0047F"/>
    <w:rsid w:val="00F649AA"/>
    <w:rsid w:val="00F94DA4"/>
    <w:rsid w:val="00FF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6BE3636-39DE-41EC-9AB3-102FA13BF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1152</Words>
  <Characters>6573</Characters>
  <Application>Microsoft Office Word</Application>
  <DocSecurity>0</DocSecurity>
  <Lines>54</Lines>
  <Paragraphs>15</Paragraphs>
  <ScaleCrop>false</ScaleCrop>
  <Company>State of South Dakota</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2024-01-10T17:34:00Z</cp:lastPrinted>
  <dcterms:created xsi:type="dcterms:W3CDTF">2025-03-28T14:59:00Z</dcterms:created>
  <dcterms:modified xsi:type="dcterms:W3CDTF">2025-07-23T16:47:00Z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