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548DE8F0"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w:t>
            </w:r>
            <w:r w:rsidR="00BE7259">
              <w:rPr>
                <w:spacing w:val="-2"/>
                <w:sz w:val="24"/>
              </w:rPr>
              <w:t>LI</w:t>
            </w:r>
            <w:r>
              <w:rPr>
                <w:spacing w:val="-2"/>
                <w:sz w:val="24"/>
              </w:rPr>
              <w:t xml:space="preserve"> </w:t>
            </w:r>
            <w:r w:rsidR="00F81D01">
              <w:rPr>
                <w:spacing w:val="-2"/>
                <w:sz w:val="24"/>
              </w:rPr>
              <w:t>7</w:t>
            </w:r>
            <w:r w:rsidR="00BE7259">
              <w:rPr>
                <w:spacing w:val="-2"/>
                <w:sz w:val="24"/>
              </w:rPr>
              <w:t>30</w:t>
            </w:r>
          </w:p>
        </w:tc>
        <w:tc>
          <w:tcPr>
            <w:tcW w:w="6480" w:type="dxa"/>
          </w:tcPr>
          <w:p w14:paraId="4166344A" w14:textId="6E364F51" w:rsidR="004F72E5" w:rsidRPr="004F72E5" w:rsidRDefault="00BE725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Global Privacy Law</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57110A" w14:paraId="0ED3232A" w14:textId="77777777" w:rsidTr="00C33A19">
        <w:trPr>
          <w:cantSplit/>
        </w:trPr>
        <w:tc>
          <w:tcPr>
            <w:tcW w:w="9360" w:type="dxa"/>
            <w:gridSpan w:val="2"/>
            <w:tcBorders>
              <w:bottom w:val="single" w:sz="4" w:space="0" w:color="auto"/>
            </w:tcBorders>
          </w:tcPr>
          <w:p w14:paraId="0448DF7F" w14:textId="77777777" w:rsidR="00D75A8A" w:rsidRPr="00D75A8A" w:rsidRDefault="00D75A8A" w:rsidP="00D75A8A">
            <w:pPr>
              <w:rPr>
                <w:sz w:val="24"/>
                <w:szCs w:val="24"/>
              </w:rPr>
            </w:pPr>
            <w:r w:rsidRPr="00D75A8A">
              <w:rPr>
                <w:sz w:val="24"/>
                <w:szCs w:val="24"/>
              </w:rPr>
              <w:t xml:space="preserve">This course examines US and international privacy laws, exploring how different legal approaches regulate data collection, usage, and protection across jurisdictions. Particular focus will be on the EU’s GDPR, China’s Personal Information Protection Law, US federal surveillance laws, relevant Supreme Court decisions, the California Consumer Privacy Act, and the Colorado Privacy Act, among others. </w:t>
            </w:r>
          </w:p>
          <w:p w14:paraId="48736AC0" w14:textId="0DDB06FE" w:rsidR="00BE7259" w:rsidRPr="0057110A" w:rsidRDefault="00BE7259" w:rsidP="00D863E4">
            <w:pPr>
              <w:rPr>
                <w:spacing w:val="-2"/>
                <w:sz w:val="24"/>
                <w:szCs w:val="24"/>
              </w:rPr>
            </w:pP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43D63E49"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9EC2963" w14:textId="318AEDCF" w:rsidR="00F134AE" w:rsidRDefault="00E67856"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A8F654A" w14:textId="77777777" w:rsidR="00046578" w:rsidRDefault="00046578"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p w14:paraId="0FD6545F" w14:textId="392C7B9F"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002936DD">
        <w:tc>
          <w:tcPr>
            <w:tcW w:w="1530" w:type="dxa"/>
          </w:tcPr>
          <w:p w14:paraId="4813D737" w14:textId="5022AD17" w:rsidR="00AE2164" w:rsidRPr="000006D5" w:rsidRDefault="00024F3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LAW 856</w:t>
            </w:r>
          </w:p>
        </w:tc>
        <w:tc>
          <w:tcPr>
            <w:tcW w:w="6120" w:type="dxa"/>
          </w:tcPr>
          <w:p w14:paraId="3C3424BC" w14:textId="74F8A579" w:rsidR="00AE2164" w:rsidRPr="000006D5" w:rsidRDefault="00024F3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National Security Law</w:t>
            </w:r>
            <w:r w:rsidR="00943597">
              <w:rPr>
                <w:bCs/>
                <w:spacing w:val="-2"/>
                <w:sz w:val="24"/>
              </w:rPr>
              <w:t xml:space="preserve"> (USD)</w:t>
            </w:r>
          </w:p>
        </w:tc>
        <w:tc>
          <w:tcPr>
            <w:tcW w:w="1530" w:type="dxa"/>
          </w:tcPr>
          <w:p w14:paraId="37720C46" w14:textId="177EE0FF" w:rsidR="00AE2164" w:rsidRPr="000006D5" w:rsidRDefault="004561D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002936DD">
        <w:tc>
          <w:tcPr>
            <w:tcW w:w="1530" w:type="dxa"/>
          </w:tcPr>
          <w:p w14:paraId="00988451" w14:textId="256FD35D" w:rsidR="00B17DC4" w:rsidRPr="00B17DC4" w:rsidRDefault="0053132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CLI </w:t>
            </w:r>
            <w:r w:rsidR="003D57BA">
              <w:rPr>
                <w:spacing w:val="-2"/>
                <w:sz w:val="24"/>
              </w:rPr>
              <w:t>410</w:t>
            </w:r>
          </w:p>
        </w:tc>
        <w:tc>
          <w:tcPr>
            <w:tcW w:w="6120" w:type="dxa"/>
          </w:tcPr>
          <w:p w14:paraId="7618CBB9" w14:textId="02823FD8" w:rsidR="00B17DC4" w:rsidRPr="00B17DC4" w:rsidRDefault="003D57B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National Security Law (DSU)</w:t>
            </w:r>
          </w:p>
        </w:tc>
        <w:tc>
          <w:tcPr>
            <w:tcW w:w="1530" w:type="dxa"/>
          </w:tcPr>
          <w:p w14:paraId="304C702B" w14:textId="59D7E715" w:rsidR="00B17DC4" w:rsidRPr="00B17DC4" w:rsidRDefault="003D57B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56E50AD6" w14:textId="7DCAF285" w:rsidR="00276D8D" w:rsidRPr="00B17DC4" w:rsidRDefault="00F749A9" w:rsidP="00B10F88">
            <w:pPr>
              <w:jc w:val="both"/>
              <w:rPr>
                <w:spacing w:val="-2"/>
                <w:sz w:val="24"/>
              </w:rPr>
            </w:pPr>
            <w:r w:rsidRPr="00F749A9">
              <w:rPr>
                <w:spacing w:val="-2"/>
                <w:sz w:val="24"/>
              </w:rPr>
              <w:t xml:space="preserve">CLI 730 will differ from the national security </w:t>
            </w:r>
            <w:r w:rsidR="00531480">
              <w:rPr>
                <w:spacing w:val="-2"/>
                <w:sz w:val="24"/>
              </w:rPr>
              <w:t xml:space="preserve">law </w:t>
            </w:r>
            <w:r w:rsidRPr="00F749A9">
              <w:rPr>
                <w:spacing w:val="-2"/>
                <w:sz w:val="24"/>
              </w:rPr>
              <w:t>courses in three</w:t>
            </w:r>
            <w:r>
              <w:rPr>
                <w:spacing w:val="-2"/>
                <w:sz w:val="24"/>
              </w:rPr>
              <w:t xml:space="preserve"> </w:t>
            </w:r>
            <w:r w:rsidRPr="00F749A9">
              <w:rPr>
                <w:spacing w:val="-2"/>
                <w:sz w:val="24"/>
              </w:rPr>
              <w:t>ways. First, its primary focus will be on data privacy law, which addresses the collection</w:t>
            </w:r>
            <w:r w:rsidR="008F5389">
              <w:rPr>
                <w:spacing w:val="-2"/>
                <w:sz w:val="24"/>
              </w:rPr>
              <w:t xml:space="preserve"> and use</w:t>
            </w:r>
            <w:r w:rsidRPr="00F749A9">
              <w:rPr>
                <w:spacing w:val="-2"/>
                <w:sz w:val="24"/>
              </w:rPr>
              <w:t xml:space="preserve"> of all types of digital personal data. </w:t>
            </w:r>
            <w:r w:rsidR="006A3C33">
              <w:rPr>
                <w:spacing w:val="-2"/>
                <w:sz w:val="24"/>
              </w:rPr>
              <w:t>By</w:t>
            </w:r>
            <w:r w:rsidRPr="00F749A9">
              <w:rPr>
                <w:spacing w:val="-2"/>
                <w:sz w:val="24"/>
              </w:rPr>
              <w:t xml:space="preserve"> contrast, LAW 856 and CLI 410 cover </w:t>
            </w:r>
            <w:r w:rsidR="006A3C33">
              <w:rPr>
                <w:spacing w:val="-2"/>
                <w:sz w:val="24"/>
              </w:rPr>
              <w:t xml:space="preserve">many </w:t>
            </w:r>
            <w:r w:rsidRPr="00F749A9">
              <w:rPr>
                <w:spacing w:val="-2"/>
                <w:sz w:val="24"/>
              </w:rPr>
              <w:t xml:space="preserve">topics unrelated to data privacy, such as </w:t>
            </w:r>
            <w:r w:rsidR="0056740A">
              <w:rPr>
                <w:spacing w:val="-2"/>
                <w:sz w:val="24"/>
              </w:rPr>
              <w:t>counter</w:t>
            </w:r>
            <w:r w:rsidRPr="00F749A9">
              <w:rPr>
                <w:spacing w:val="-2"/>
                <w:sz w:val="24"/>
              </w:rPr>
              <w:t>terrorism programs, military tribunals, war powers, and domestic emergency powers. While CLI 730 will touch on some surveillance laws discussed in LAW 856 and CLI 410, this will be a minor component of the course.</w:t>
            </w:r>
            <w:r>
              <w:rPr>
                <w:spacing w:val="-2"/>
                <w:sz w:val="24"/>
              </w:rPr>
              <w:t xml:space="preserve"> </w:t>
            </w:r>
            <w:r w:rsidRPr="00F749A9">
              <w:rPr>
                <w:spacing w:val="-2"/>
                <w:sz w:val="24"/>
              </w:rPr>
              <w:t>Second, CLI 730 will examine privacy laws at both the U</w:t>
            </w:r>
            <w:r w:rsidR="006A3802">
              <w:rPr>
                <w:spacing w:val="-2"/>
                <w:sz w:val="24"/>
              </w:rPr>
              <w:t>S</w:t>
            </w:r>
            <w:r w:rsidRPr="00F749A9">
              <w:rPr>
                <w:spacing w:val="-2"/>
                <w:sz w:val="24"/>
              </w:rPr>
              <w:t xml:space="preserve"> state level and globally, offering a local and international perspective. National security law courses, by comparison, focus exclusively on U</w:t>
            </w:r>
            <w:r w:rsidR="00EC442F">
              <w:rPr>
                <w:spacing w:val="-2"/>
                <w:sz w:val="24"/>
              </w:rPr>
              <w:t>S</w:t>
            </w:r>
            <w:r w:rsidRPr="00F749A9">
              <w:rPr>
                <w:spacing w:val="-2"/>
                <w:sz w:val="24"/>
              </w:rPr>
              <w:t xml:space="preserve"> federal law.</w:t>
            </w:r>
            <w:r>
              <w:rPr>
                <w:spacing w:val="-2"/>
                <w:sz w:val="24"/>
              </w:rPr>
              <w:t xml:space="preserve"> </w:t>
            </w:r>
            <w:r w:rsidRPr="00F749A9">
              <w:rPr>
                <w:spacing w:val="-2"/>
                <w:sz w:val="24"/>
              </w:rPr>
              <w:t xml:space="preserve">Third, CLI 730 will explore legal frameworks governing data </w:t>
            </w:r>
            <w:r w:rsidR="00150A57">
              <w:rPr>
                <w:spacing w:val="-2"/>
                <w:sz w:val="24"/>
              </w:rPr>
              <w:t>management</w:t>
            </w:r>
            <w:r w:rsidRPr="00F749A9">
              <w:rPr>
                <w:spacing w:val="-2"/>
                <w:sz w:val="24"/>
              </w:rPr>
              <w:t xml:space="preserve"> practices in both the public and private sectors, with particular emphasis on corporate responsibilities in handling user data. </w:t>
            </w:r>
            <w:r w:rsidR="001F5FF3">
              <w:rPr>
                <w:spacing w:val="-2"/>
                <w:sz w:val="24"/>
              </w:rPr>
              <w:t xml:space="preserve">Again, </w:t>
            </w:r>
            <w:r w:rsidR="00EE6AD9">
              <w:rPr>
                <w:spacing w:val="-2"/>
                <w:sz w:val="24"/>
              </w:rPr>
              <w:t xml:space="preserve">the </w:t>
            </w:r>
            <w:r w:rsidR="00B627A6">
              <w:rPr>
                <w:spacing w:val="-2"/>
                <w:sz w:val="24"/>
              </w:rPr>
              <w:t xml:space="preserve">legal and </w:t>
            </w:r>
            <w:r w:rsidR="004E1216">
              <w:rPr>
                <w:spacing w:val="-2"/>
                <w:sz w:val="24"/>
              </w:rPr>
              <w:t>regulatory issues</w:t>
            </w:r>
            <w:r w:rsidR="00EE6AD9">
              <w:rPr>
                <w:spacing w:val="-2"/>
                <w:sz w:val="24"/>
              </w:rPr>
              <w:t xml:space="preserve"> discussed will have both a local and global focus. </w:t>
            </w:r>
            <w:r w:rsidRPr="00F749A9">
              <w:rPr>
                <w:spacing w:val="-2"/>
                <w:sz w:val="24"/>
              </w:rPr>
              <w:t>National security law courses do not cover these topics.</w:t>
            </w: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4647C6"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063F7055"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5618DF">
        <w:rPr>
          <w:spacing w:val="-2"/>
          <w:sz w:val="24"/>
        </w:rPr>
        <w:t xml:space="preserve">Required in the MS in </w:t>
      </w:r>
      <w:r w:rsidR="00822907">
        <w:rPr>
          <w:spacing w:val="-2"/>
          <w:sz w:val="24"/>
        </w:rPr>
        <w:t>Data Privacy.</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4DDD61F0"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4647C6">
        <w:rPr>
          <w:spacing w:val="-2"/>
          <w:sz w:val="24"/>
        </w:rPr>
        <w:t>Spring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32CA23E" w:rsidR="007264AF" w:rsidRDefault="00943597" w:rsidP="00EA74F7">
            <w:pPr>
              <w:rPr>
                <w:spacing w:val="-2"/>
                <w:sz w:val="24"/>
              </w:rPr>
            </w:pPr>
            <w:r>
              <w:rPr>
                <w:spacing w:val="-2"/>
                <w:sz w:val="24"/>
              </w:rPr>
              <w:t>College of Arts and Scie</w:t>
            </w:r>
            <w:r w:rsidR="00DF1D6F">
              <w:rPr>
                <w:spacing w:val="-2"/>
                <w:sz w:val="24"/>
              </w:rPr>
              <w:t>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28485A00" w:rsidR="00151739" w:rsidRDefault="00943597" w:rsidP="009D19A4">
            <w:pPr>
              <w:rPr>
                <w:spacing w:val="-2"/>
                <w:sz w:val="24"/>
              </w:rPr>
            </w:pPr>
            <w:r>
              <w:rPr>
                <w:spacing w:val="-2"/>
                <w:sz w:val="24"/>
              </w:rPr>
              <w:t>DAS</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5D44AFE9" w:rsidR="004F67DD" w:rsidRDefault="00D66FF9" w:rsidP="00EA74F7">
            <w:pPr>
              <w:rPr>
                <w:spacing w:val="-2"/>
                <w:sz w:val="24"/>
              </w:rPr>
            </w:pPr>
            <w:r>
              <w:rPr>
                <w:spacing w:val="-2"/>
                <w:sz w:val="24"/>
              </w:rPr>
              <w:t>29.0202</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8DCE2" w14:textId="77777777" w:rsidR="00407965" w:rsidRDefault="00407965" w:rsidP="00193C86">
      <w:r>
        <w:separator/>
      </w:r>
    </w:p>
  </w:endnote>
  <w:endnote w:type="continuationSeparator" w:id="0">
    <w:p w14:paraId="1E5D6979" w14:textId="77777777" w:rsidR="00407965" w:rsidRDefault="0040796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4F7C7" w14:textId="77777777" w:rsidR="00407965" w:rsidRDefault="00407965" w:rsidP="00193C86">
      <w:r>
        <w:separator/>
      </w:r>
    </w:p>
  </w:footnote>
  <w:footnote w:type="continuationSeparator" w:id="0">
    <w:p w14:paraId="58DB69E7" w14:textId="77777777" w:rsidR="00407965" w:rsidRDefault="0040796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3058"/>
    <w:rsid w:val="00024F3A"/>
    <w:rsid w:val="00030E7C"/>
    <w:rsid w:val="00034423"/>
    <w:rsid w:val="00046578"/>
    <w:rsid w:val="00055660"/>
    <w:rsid w:val="00061E70"/>
    <w:rsid w:val="000646A8"/>
    <w:rsid w:val="0007149E"/>
    <w:rsid w:val="00075935"/>
    <w:rsid w:val="00076909"/>
    <w:rsid w:val="000B6EC4"/>
    <w:rsid w:val="000C7E66"/>
    <w:rsid w:val="001027BE"/>
    <w:rsid w:val="00103082"/>
    <w:rsid w:val="001106A4"/>
    <w:rsid w:val="00113F8D"/>
    <w:rsid w:val="0011645D"/>
    <w:rsid w:val="001212B6"/>
    <w:rsid w:val="00123FE8"/>
    <w:rsid w:val="00130A30"/>
    <w:rsid w:val="00142F19"/>
    <w:rsid w:val="00145547"/>
    <w:rsid w:val="00150A57"/>
    <w:rsid w:val="00151739"/>
    <w:rsid w:val="00155A55"/>
    <w:rsid w:val="00157CED"/>
    <w:rsid w:val="00171D84"/>
    <w:rsid w:val="0018503F"/>
    <w:rsid w:val="00185BB9"/>
    <w:rsid w:val="00187FB9"/>
    <w:rsid w:val="00192FC1"/>
    <w:rsid w:val="00193C86"/>
    <w:rsid w:val="00194A20"/>
    <w:rsid w:val="00196B9C"/>
    <w:rsid w:val="001A0A96"/>
    <w:rsid w:val="001B0006"/>
    <w:rsid w:val="001B218A"/>
    <w:rsid w:val="001B288A"/>
    <w:rsid w:val="001B519C"/>
    <w:rsid w:val="001C213A"/>
    <w:rsid w:val="001C345E"/>
    <w:rsid w:val="001D1169"/>
    <w:rsid w:val="001D5E83"/>
    <w:rsid w:val="001E60AF"/>
    <w:rsid w:val="001F4591"/>
    <w:rsid w:val="001F5FF3"/>
    <w:rsid w:val="00201122"/>
    <w:rsid w:val="002035E5"/>
    <w:rsid w:val="00205AC1"/>
    <w:rsid w:val="0021554F"/>
    <w:rsid w:val="00217036"/>
    <w:rsid w:val="00231053"/>
    <w:rsid w:val="00231663"/>
    <w:rsid w:val="00246DEC"/>
    <w:rsid w:val="0025352E"/>
    <w:rsid w:val="00260CDE"/>
    <w:rsid w:val="002653D9"/>
    <w:rsid w:val="00265C64"/>
    <w:rsid w:val="00276D8D"/>
    <w:rsid w:val="00285247"/>
    <w:rsid w:val="00287FE5"/>
    <w:rsid w:val="002902C1"/>
    <w:rsid w:val="002936DD"/>
    <w:rsid w:val="002A2495"/>
    <w:rsid w:val="002A42B4"/>
    <w:rsid w:val="002A5427"/>
    <w:rsid w:val="002A7369"/>
    <w:rsid w:val="002C27F8"/>
    <w:rsid w:val="002C2C59"/>
    <w:rsid w:val="002C5078"/>
    <w:rsid w:val="002D345B"/>
    <w:rsid w:val="002E67ED"/>
    <w:rsid w:val="00311BB3"/>
    <w:rsid w:val="0032349F"/>
    <w:rsid w:val="00330633"/>
    <w:rsid w:val="00342089"/>
    <w:rsid w:val="00345F51"/>
    <w:rsid w:val="00354BF9"/>
    <w:rsid w:val="00355620"/>
    <w:rsid w:val="00377961"/>
    <w:rsid w:val="003831AE"/>
    <w:rsid w:val="00385992"/>
    <w:rsid w:val="003943CC"/>
    <w:rsid w:val="00397468"/>
    <w:rsid w:val="003C2AA0"/>
    <w:rsid w:val="003C7D57"/>
    <w:rsid w:val="003D5429"/>
    <w:rsid w:val="003D57BA"/>
    <w:rsid w:val="003E69F8"/>
    <w:rsid w:val="003F3694"/>
    <w:rsid w:val="004046B2"/>
    <w:rsid w:val="00407965"/>
    <w:rsid w:val="004133E6"/>
    <w:rsid w:val="00414146"/>
    <w:rsid w:val="004143D0"/>
    <w:rsid w:val="00430148"/>
    <w:rsid w:val="00434733"/>
    <w:rsid w:val="00435535"/>
    <w:rsid w:val="00446C6D"/>
    <w:rsid w:val="004561D0"/>
    <w:rsid w:val="004565E2"/>
    <w:rsid w:val="004647C6"/>
    <w:rsid w:val="00466BD5"/>
    <w:rsid w:val="00475797"/>
    <w:rsid w:val="00476F84"/>
    <w:rsid w:val="00482868"/>
    <w:rsid w:val="0048543A"/>
    <w:rsid w:val="0049439D"/>
    <w:rsid w:val="00495627"/>
    <w:rsid w:val="00496CDA"/>
    <w:rsid w:val="004A5C62"/>
    <w:rsid w:val="004A670F"/>
    <w:rsid w:val="004A78B2"/>
    <w:rsid w:val="004B7303"/>
    <w:rsid w:val="004C4A61"/>
    <w:rsid w:val="004D3083"/>
    <w:rsid w:val="004D522C"/>
    <w:rsid w:val="004D7B32"/>
    <w:rsid w:val="004E1216"/>
    <w:rsid w:val="004E2E84"/>
    <w:rsid w:val="004E3811"/>
    <w:rsid w:val="004F27D6"/>
    <w:rsid w:val="004F67DD"/>
    <w:rsid w:val="004F72E5"/>
    <w:rsid w:val="00524E7F"/>
    <w:rsid w:val="0053132B"/>
    <w:rsid w:val="00531480"/>
    <w:rsid w:val="0053781C"/>
    <w:rsid w:val="005379CF"/>
    <w:rsid w:val="005435B7"/>
    <w:rsid w:val="0054427B"/>
    <w:rsid w:val="005521A6"/>
    <w:rsid w:val="005526BD"/>
    <w:rsid w:val="00555023"/>
    <w:rsid w:val="005618DF"/>
    <w:rsid w:val="0056740A"/>
    <w:rsid w:val="0057110A"/>
    <w:rsid w:val="00572A9F"/>
    <w:rsid w:val="005A7FA3"/>
    <w:rsid w:val="005B08CE"/>
    <w:rsid w:val="005E1A9C"/>
    <w:rsid w:val="005E37FC"/>
    <w:rsid w:val="005F5611"/>
    <w:rsid w:val="00603DBF"/>
    <w:rsid w:val="006261A9"/>
    <w:rsid w:val="0063414D"/>
    <w:rsid w:val="00637DFB"/>
    <w:rsid w:val="00643B0A"/>
    <w:rsid w:val="00653D2A"/>
    <w:rsid w:val="0067215D"/>
    <w:rsid w:val="006A3802"/>
    <w:rsid w:val="006A3C33"/>
    <w:rsid w:val="006B3265"/>
    <w:rsid w:val="006D2A9F"/>
    <w:rsid w:val="006D4E72"/>
    <w:rsid w:val="006D708F"/>
    <w:rsid w:val="006F23E0"/>
    <w:rsid w:val="006F3109"/>
    <w:rsid w:val="006F624A"/>
    <w:rsid w:val="00700B8D"/>
    <w:rsid w:val="00705A9C"/>
    <w:rsid w:val="00707D91"/>
    <w:rsid w:val="007264AF"/>
    <w:rsid w:val="00727DC0"/>
    <w:rsid w:val="0073115F"/>
    <w:rsid w:val="007311DD"/>
    <w:rsid w:val="00744CBF"/>
    <w:rsid w:val="00756E6D"/>
    <w:rsid w:val="00765244"/>
    <w:rsid w:val="00780450"/>
    <w:rsid w:val="0078147E"/>
    <w:rsid w:val="00795246"/>
    <w:rsid w:val="007A0FB1"/>
    <w:rsid w:val="007A4C65"/>
    <w:rsid w:val="007B167E"/>
    <w:rsid w:val="007C7DC8"/>
    <w:rsid w:val="007D6A8B"/>
    <w:rsid w:val="007E6532"/>
    <w:rsid w:val="007E6E7D"/>
    <w:rsid w:val="007F7484"/>
    <w:rsid w:val="00800981"/>
    <w:rsid w:val="00803B62"/>
    <w:rsid w:val="008074EE"/>
    <w:rsid w:val="0081257E"/>
    <w:rsid w:val="0081310A"/>
    <w:rsid w:val="00816214"/>
    <w:rsid w:val="00817217"/>
    <w:rsid w:val="0082196D"/>
    <w:rsid w:val="00822907"/>
    <w:rsid w:val="00831B36"/>
    <w:rsid w:val="008426E3"/>
    <w:rsid w:val="0084510C"/>
    <w:rsid w:val="0085055D"/>
    <w:rsid w:val="00854C5D"/>
    <w:rsid w:val="00877478"/>
    <w:rsid w:val="008846E8"/>
    <w:rsid w:val="00886A30"/>
    <w:rsid w:val="00897B72"/>
    <w:rsid w:val="008A2109"/>
    <w:rsid w:val="008B5F67"/>
    <w:rsid w:val="008B6D38"/>
    <w:rsid w:val="008C046D"/>
    <w:rsid w:val="008C1371"/>
    <w:rsid w:val="008C6123"/>
    <w:rsid w:val="008D5DEE"/>
    <w:rsid w:val="008E2E7B"/>
    <w:rsid w:val="008E369B"/>
    <w:rsid w:val="008E504E"/>
    <w:rsid w:val="008F48F8"/>
    <w:rsid w:val="008F5389"/>
    <w:rsid w:val="0090012F"/>
    <w:rsid w:val="009102CF"/>
    <w:rsid w:val="00941444"/>
    <w:rsid w:val="00943597"/>
    <w:rsid w:val="00953B1D"/>
    <w:rsid w:val="00954806"/>
    <w:rsid w:val="0095570D"/>
    <w:rsid w:val="00960589"/>
    <w:rsid w:val="00964D4D"/>
    <w:rsid w:val="0097137C"/>
    <w:rsid w:val="00975DED"/>
    <w:rsid w:val="00980796"/>
    <w:rsid w:val="00982E18"/>
    <w:rsid w:val="0098433C"/>
    <w:rsid w:val="009844CF"/>
    <w:rsid w:val="009A016B"/>
    <w:rsid w:val="009B039C"/>
    <w:rsid w:val="009B1131"/>
    <w:rsid w:val="009B7343"/>
    <w:rsid w:val="009C3CA8"/>
    <w:rsid w:val="009C6C7F"/>
    <w:rsid w:val="009D05E2"/>
    <w:rsid w:val="009D155F"/>
    <w:rsid w:val="009D7BC5"/>
    <w:rsid w:val="009E333B"/>
    <w:rsid w:val="009E463E"/>
    <w:rsid w:val="009F2BCE"/>
    <w:rsid w:val="009F3141"/>
    <w:rsid w:val="009F3363"/>
    <w:rsid w:val="00A01B42"/>
    <w:rsid w:val="00A01CD3"/>
    <w:rsid w:val="00A071F4"/>
    <w:rsid w:val="00A24C0C"/>
    <w:rsid w:val="00A3328E"/>
    <w:rsid w:val="00A34D50"/>
    <w:rsid w:val="00A34E24"/>
    <w:rsid w:val="00A3769E"/>
    <w:rsid w:val="00A4711D"/>
    <w:rsid w:val="00A617A3"/>
    <w:rsid w:val="00A71DC6"/>
    <w:rsid w:val="00A7523A"/>
    <w:rsid w:val="00A776C9"/>
    <w:rsid w:val="00A81A07"/>
    <w:rsid w:val="00A839E0"/>
    <w:rsid w:val="00A950A4"/>
    <w:rsid w:val="00AA0883"/>
    <w:rsid w:val="00AA38EF"/>
    <w:rsid w:val="00AA411D"/>
    <w:rsid w:val="00AC30B9"/>
    <w:rsid w:val="00AE2164"/>
    <w:rsid w:val="00AF68AC"/>
    <w:rsid w:val="00AF69A7"/>
    <w:rsid w:val="00B02DCE"/>
    <w:rsid w:val="00B10F88"/>
    <w:rsid w:val="00B14FF5"/>
    <w:rsid w:val="00B17DC4"/>
    <w:rsid w:val="00B22470"/>
    <w:rsid w:val="00B2535B"/>
    <w:rsid w:val="00B40BEC"/>
    <w:rsid w:val="00B552B9"/>
    <w:rsid w:val="00B5594A"/>
    <w:rsid w:val="00B607D6"/>
    <w:rsid w:val="00B627A6"/>
    <w:rsid w:val="00B65188"/>
    <w:rsid w:val="00B67BB9"/>
    <w:rsid w:val="00B67E7C"/>
    <w:rsid w:val="00B70F7A"/>
    <w:rsid w:val="00B72F25"/>
    <w:rsid w:val="00B81C7C"/>
    <w:rsid w:val="00B86A8B"/>
    <w:rsid w:val="00B94ED9"/>
    <w:rsid w:val="00B9591C"/>
    <w:rsid w:val="00B9714A"/>
    <w:rsid w:val="00BB0F8B"/>
    <w:rsid w:val="00BB449D"/>
    <w:rsid w:val="00BB6B45"/>
    <w:rsid w:val="00BB7EEF"/>
    <w:rsid w:val="00BD3BFF"/>
    <w:rsid w:val="00BD4589"/>
    <w:rsid w:val="00BE4F72"/>
    <w:rsid w:val="00BE5E91"/>
    <w:rsid w:val="00BE7259"/>
    <w:rsid w:val="00BF2083"/>
    <w:rsid w:val="00BF38D3"/>
    <w:rsid w:val="00C27D22"/>
    <w:rsid w:val="00C33A19"/>
    <w:rsid w:val="00C342BB"/>
    <w:rsid w:val="00C716EC"/>
    <w:rsid w:val="00C73553"/>
    <w:rsid w:val="00C771B8"/>
    <w:rsid w:val="00C80698"/>
    <w:rsid w:val="00CA6A8B"/>
    <w:rsid w:val="00CB0E93"/>
    <w:rsid w:val="00CB4BA4"/>
    <w:rsid w:val="00CB5C32"/>
    <w:rsid w:val="00CC316B"/>
    <w:rsid w:val="00CC323C"/>
    <w:rsid w:val="00CC553B"/>
    <w:rsid w:val="00CD19F6"/>
    <w:rsid w:val="00CE2C1F"/>
    <w:rsid w:val="00CF0476"/>
    <w:rsid w:val="00CF10B4"/>
    <w:rsid w:val="00CF76B9"/>
    <w:rsid w:val="00D008E3"/>
    <w:rsid w:val="00D00D43"/>
    <w:rsid w:val="00D0331E"/>
    <w:rsid w:val="00D10914"/>
    <w:rsid w:val="00D2387D"/>
    <w:rsid w:val="00D27F10"/>
    <w:rsid w:val="00D3098B"/>
    <w:rsid w:val="00D371E4"/>
    <w:rsid w:val="00D45CE1"/>
    <w:rsid w:val="00D52CB6"/>
    <w:rsid w:val="00D57E48"/>
    <w:rsid w:val="00D66B32"/>
    <w:rsid w:val="00D66FF9"/>
    <w:rsid w:val="00D75A8A"/>
    <w:rsid w:val="00D813B5"/>
    <w:rsid w:val="00D825C2"/>
    <w:rsid w:val="00D86102"/>
    <w:rsid w:val="00D863E4"/>
    <w:rsid w:val="00DB2BC6"/>
    <w:rsid w:val="00DD158A"/>
    <w:rsid w:val="00DD1716"/>
    <w:rsid w:val="00DE12ED"/>
    <w:rsid w:val="00DE3D36"/>
    <w:rsid w:val="00DE511C"/>
    <w:rsid w:val="00DF1D6F"/>
    <w:rsid w:val="00E15C71"/>
    <w:rsid w:val="00E24236"/>
    <w:rsid w:val="00E25AAB"/>
    <w:rsid w:val="00E31280"/>
    <w:rsid w:val="00E37F4E"/>
    <w:rsid w:val="00E51918"/>
    <w:rsid w:val="00E521B7"/>
    <w:rsid w:val="00E555AA"/>
    <w:rsid w:val="00E67856"/>
    <w:rsid w:val="00E749AE"/>
    <w:rsid w:val="00E80AE8"/>
    <w:rsid w:val="00E816A1"/>
    <w:rsid w:val="00E81AED"/>
    <w:rsid w:val="00E9297D"/>
    <w:rsid w:val="00EA044B"/>
    <w:rsid w:val="00EA66E9"/>
    <w:rsid w:val="00EA74F7"/>
    <w:rsid w:val="00EC442F"/>
    <w:rsid w:val="00EE6AD9"/>
    <w:rsid w:val="00F01C5B"/>
    <w:rsid w:val="00F11698"/>
    <w:rsid w:val="00F134AE"/>
    <w:rsid w:val="00F16ABE"/>
    <w:rsid w:val="00F23B94"/>
    <w:rsid w:val="00F306E0"/>
    <w:rsid w:val="00F31754"/>
    <w:rsid w:val="00F37BFE"/>
    <w:rsid w:val="00F60B93"/>
    <w:rsid w:val="00F626D4"/>
    <w:rsid w:val="00F749A9"/>
    <w:rsid w:val="00F75CDA"/>
    <w:rsid w:val="00F80312"/>
    <w:rsid w:val="00F81D01"/>
    <w:rsid w:val="00F84D99"/>
    <w:rsid w:val="00F90202"/>
    <w:rsid w:val="00FA2CD6"/>
    <w:rsid w:val="00FC41D3"/>
    <w:rsid w:val="00FC5F66"/>
    <w:rsid w:val="00FC758F"/>
    <w:rsid w:val="00FD068B"/>
    <w:rsid w:val="00FE07BB"/>
    <w:rsid w:val="00FE1858"/>
    <w:rsid w:val="00FE2883"/>
    <w:rsid w:val="00FE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410986">
      <w:bodyDiv w:val="1"/>
      <w:marLeft w:val="0"/>
      <w:marRight w:val="0"/>
      <w:marTop w:val="0"/>
      <w:marBottom w:val="0"/>
      <w:divBdr>
        <w:top w:val="none" w:sz="0" w:space="0" w:color="auto"/>
        <w:left w:val="none" w:sz="0" w:space="0" w:color="auto"/>
        <w:bottom w:val="none" w:sz="0" w:space="0" w:color="auto"/>
        <w:right w:val="none" w:sz="0" w:space="0" w:color="auto"/>
      </w:divBdr>
    </w:div>
    <w:div w:id="12928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57CED"/>
    <w:rsid w:val="00196B9C"/>
    <w:rsid w:val="001B288A"/>
    <w:rsid w:val="0021554F"/>
    <w:rsid w:val="002653D9"/>
    <w:rsid w:val="00271C11"/>
    <w:rsid w:val="003F6B08"/>
    <w:rsid w:val="00404DCE"/>
    <w:rsid w:val="004E0AA6"/>
    <w:rsid w:val="005573C1"/>
    <w:rsid w:val="005B2D05"/>
    <w:rsid w:val="00670630"/>
    <w:rsid w:val="009A2D7C"/>
    <w:rsid w:val="009B1131"/>
    <w:rsid w:val="00A00CC9"/>
    <w:rsid w:val="00A82EBC"/>
    <w:rsid w:val="00B64ECC"/>
    <w:rsid w:val="00D24DA1"/>
    <w:rsid w:val="00DA18F4"/>
    <w:rsid w:val="00E44BBC"/>
    <w:rsid w:val="00E81AED"/>
    <w:rsid w:val="00F649AA"/>
    <w:rsid w:val="00F94DA4"/>
    <w:rsid w:val="00FF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093C55-1B74-4912-9C0C-2C58CF6B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2024-01-10T17:34:00Z</cp:lastPrinted>
  <dcterms:created xsi:type="dcterms:W3CDTF">2025-03-17T18:42:00Z</dcterms:created>
  <dcterms:modified xsi:type="dcterms:W3CDTF">2025-07-23T16:14:00Z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