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9264"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sz w:val="24"/>
              </w:rPr>
            </w:pPr>
          </w:p>
          <w:p w14:paraId="4BC845E3" w14:textId="6032FFDC" w:rsidR="00DF1D6F" w:rsidRDefault="004D56C7" w:rsidP="00F84D99">
            <w:pPr>
              <w:tabs>
                <w:tab w:val="center" w:pos="5400"/>
              </w:tabs>
              <w:suppressAutoHyphens/>
              <w:rPr>
                <w:spacing w:val="-2"/>
                <w:sz w:val="24"/>
              </w:rPr>
            </w:pPr>
            <w:r>
              <w:rPr>
                <w:noProof/>
              </w:rPr>
              <w:drawing>
                <wp:inline distT="0" distB="0" distL="0" distR="0" wp14:anchorId="1F8E901D" wp14:editId="3B3B5F4F">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4-02-12T00:00:00Z">
              <w:dateFormat w:val="M/d/yyyy"/>
              <w:lid w:val="en-US"/>
              <w:storeMappedDataAs w:val="dateTime"/>
              <w:calendar w:val="gregorian"/>
            </w:date>
          </w:sdtPr>
          <w:sdtEndPr/>
          <w:sdtContent>
            <w:tc>
              <w:tcPr>
                <w:tcW w:w="1717" w:type="dxa"/>
                <w:tcBorders>
                  <w:top w:val="nil"/>
                  <w:left w:val="nil"/>
                  <w:right w:val="nil"/>
                </w:tcBorders>
                <w:vAlign w:val="bottom"/>
              </w:tcPr>
              <w:p w14:paraId="485EBCB2" w14:textId="435760DC" w:rsidR="00F134AE" w:rsidRDefault="004D56C7" w:rsidP="003C2AA0">
                <w:pPr>
                  <w:tabs>
                    <w:tab w:val="center" w:pos="5400"/>
                  </w:tabs>
                  <w:suppressAutoHyphens/>
                  <w:jc w:val="center"/>
                  <w:rPr>
                    <w:spacing w:val="-2"/>
                    <w:sz w:val="24"/>
                  </w:rPr>
                </w:pPr>
                <w:r>
                  <w:rPr>
                    <w:spacing w:val="-2"/>
                    <w:sz w:val="24"/>
                  </w:rPr>
                  <w:t>2/12/2024</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00C33A1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00C33A19">
        <w:tc>
          <w:tcPr>
            <w:tcW w:w="1710" w:type="dxa"/>
          </w:tcPr>
          <w:p w14:paraId="30BF993B" w14:textId="2413D0F5" w:rsidR="004F72E5" w:rsidRPr="004F72E5" w:rsidRDefault="004143D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F81D01">
              <w:rPr>
                <w:spacing w:val="-2"/>
                <w:sz w:val="24"/>
              </w:rPr>
              <w:t>7</w:t>
            </w:r>
            <w:r w:rsidR="00123FE8">
              <w:rPr>
                <w:spacing w:val="-2"/>
                <w:sz w:val="24"/>
              </w:rPr>
              <w:t>6</w:t>
            </w:r>
            <w:r w:rsidR="001027BE">
              <w:rPr>
                <w:spacing w:val="-2"/>
                <w:sz w:val="24"/>
              </w:rPr>
              <w:t>6</w:t>
            </w:r>
          </w:p>
        </w:tc>
        <w:tc>
          <w:tcPr>
            <w:tcW w:w="6480" w:type="dxa"/>
          </w:tcPr>
          <w:p w14:paraId="4166344A" w14:textId="3EBF129E" w:rsidR="004F72E5" w:rsidRPr="004F72E5" w:rsidRDefault="00123FE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Quantum </w:t>
            </w:r>
            <w:r w:rsidR="001027BE">
              <w:rPr>
                <w:spacing w:val="-2"/>
                <w:sz w:val="24"/>
              </w:rPr>
              <w:t>Programming</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0ED3232A" w14:textId="77777777" w:rsidTr="00C33A19">
        <w:trPr>
          <w:cantSplit/>
        </w:trPr>
        <w:tc>
          <w:tcPr>
            <w:tcW w:w="9360" w:type="dxa"/>
            <w:gridSpan w:val="2"/>
            <w:tcBorders>
              <w:bottom w:val="single" w:sz="4" w:space="0" w:color="auto"/>
            </w:tcBorders>
          </w:tcPr>
          <w:p w14:paraId="6BA530AF" w14:textId="56D71C55" w:rsidR="00F134AE" w:rsidRDefault="00123FE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This course </w:t>
            </w:r>
            <w:r w:rsidR="00171D84">
              <w:rPr>
                <w:spacing w:val="-2"/>
                <w:sz w:val="24"/>
              </w:rPr>
              <w:t>enables students to gra</w:t>
            </w:r>
            <w:r w:rsidR="00B40BEC">
              <w:rPr>
                <w:spacing w:val="-2"/>
                <w:sz w:val="24"/>
              </w:rPr>
              <w:t>sp and apply quantum algorithms, preparing them with the knowledge and skills necessary to write and understand quantum programming using the</w:t>
            </w:r>
            <w:r w:rsidR="00023058">
              <w:rPr>
                <w:spacing w:val="-2"/>
                <w:sz w:val="24"/>
              </w:rPr>
              <w:t xml:space="preserve"> Q</w:t>
            </w:r>
            <w:r w:rsidR="00B40BEC">
              <w:rPr>
                <w:spacing w:val="-2"/>
                <w:sz w:val="24"/>
              </w:rPr>
              <w:t>iskit framework.</w:t>
            </w:r>
          </w:p>
          <w:p w14:paraId="48736AC0" w14:textId="1F9609C0" w:rsidR="00123FE8" w:rsidRDefault="00123FE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00C33A19">
        <w:tc>
          <w:tcPr>
            <w:tcW w:w="1710" w:type="dxa"/>
          </w:tcPr>
          <w:p w14:paraId="5B482624" w14:textId="0CB4C7DA" w:rsidR="00F134AE" w:rsidRDefault="00CE455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E4553">
              <w:rPr>
                <w:spacing w:val="-2"/>
                <w:sz w:val="24"/>
              </w:rPr>
              <w:t>CSC 763</w:t>
            </w:r>
          </w:p>
        </w:tc>
        <w:tc>
          <w:tcPr>
            <w:tcW w:w="5580" w:type="dxa"/>
          </w:tcPr>
          <w:p w14:paraId="79EC2963" w14:textId="419777A6" w:rsidR="00F134AE" w:rsidRDefault="00CE455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E4553">
              <w:rPr>
                <w:spacing w:val="-2"/>
                <w:sz w:val="24"/>
              </w:rPr>
              <w:t>Quantum Computing Fundamentals</w:t>
            </w:r>
          </w:p>
        </w:tc>
        <w:tc>
          <w:tcPr>
            <w:tcW w:w="2062" w:type="dxa"/>
          </w:tcPr>
          <w:p w14:paraId="73FCB3E5" w14:textId="5933F425" w:rsidR="00F134AE" w:rsidRDefault="0095643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w:t>
            </w:r>
            <w:r w:rsidR="00143B82">
              <w:rPr>
                <w:spacing w:val="-2"/>
                <w:sz w:val="24"/>
              </w:rPr>
              <w:t>-Req</w:t>
            </w: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2C6F842C" w14:textId="79C0AE34" w:rsidR="00F134AE" w:rsidRDefault="0003442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4D2E66A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002936DD">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AE2164" w:rsidRPr="000006D5" w14:paraId="2D4DBA50" w14:textId="77777777" w:rsidTr="002936DD">
        <w:tc>
          <w:tcPr>
            <w:tcW w:w="1530" w:type="dxa"/>
          </w:tcPr>
          <w:p w14:paraId="4813D737" w14:textId="537902D6" w:rsidR="00AE2164" w:rsidRPr="000006D5" w:rsidRDefault="00123FE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PHYS 777</w:t>
            </w:r>
          </w:p>
        </w:tc>
        <w:tc>
          <w:tcPr>
            <w:tcW w:w="6120" w:type="dxa"/>
          </w:tcPr>
          <w:p w14:paraId="3C3424BC" w14:textId="16E14A8C" w:rsidR="00AE2164" w:rsidRPr="000006D5" w:rsidRDefault="00D27F1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Intro to Quantum Information</w:t>
            </w:r>
          </w:p>
        </w:tc>
        <w:tc>
          <w:tcPr>
            <w:tcW w:w="1530" w:type="dxa"/>
          </w:tcPr>
          <w:p w14:paraId="37720C46" w14:textId="2B650E65" w:rsidR="00AE2164" w:rsidRPr="000006D5" w:rsidRDefault="000006D5"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sidRPr="000006D5">
              <w:rPr>
                <w:bCs/>
                <w:spacing w:val="-2"/>
                <w:sz w:val="24"/>
              </w:rPr>
              <w:t>3</w:t>
            </w:r>
          </w:p>
        </w:tc>
      </w:tr>
      <w:tr w:rsidR="00B17DC4" w:rsidRPr="00B17DC4" w14:paraId="7F77FFA7" w14:textId="77777777" w:rsidTr="002936DD">
        <w:tc>
          <w:tcPr>
            <w:tcW w:w="1530" w:type="dxa"/>
          </w:tcPr>
          <w:p w14:paraId="00988451" w14:textId="4C9267A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7618CBB9" w14:textId="7904EA03"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304C702B" w14:textId="5BF59FEB"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00F1047C" w14:textId="77777777" w:rsidTr="002936DD">
        <w:tc>
          <w:tcPr>
            <w:tcW w:w="1530" w:type="dxa"/>
            <w:tcBorders>
              <w:bottom w:val="single" w:sz="6" w:space="0" w:color="auto"/>
            </w:tcBorders>
          </w:tcPr>
          <w:p w14:paraId="3997A84C" w14:textId="0782830E"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0A20448E" w14:textId="29539B8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12F2A001" w14:textId="279F678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40F42E28" w14:textId="77777777" w:rsidTr="002936DD">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002936DD">
        <w:tc>
          <w:tcPr>
            <w:tcW w:w="9180" w:type="dxa"/>
            <w:gridSpan w:val="3"/>
            <w:tcBorders>
              <w:top w:val="single" w:sz="6" w:space="0" w:color="auto"/>
            </w:tcBorders>
          </w:tcPr>
          <w:p w14:paraId="2B9347AD" w14:textId="77777777" w:rsidR="004A5C62" w:rsidRDefault="004A5C62" w:rsidP="00A71DC6">
            <w:pPr>
              <w:jc w:val="both"/>
              <w:rPr>
                <w:spacing w:val="-2"/>
                <w:sz w:val="24"/>
              </w:rPr>
            </w:pPr>
          </w:p>
          <w:p w14:paraId="199B9CF1" w14:textId="5C91055B" w:rsidR="00E24236" w:rsidRDefault="00D27F10" w:rsidP="00A71DC6">
            <w:pPr>
              <w:jc w:val="both"/>
              <w:rPr>
                <w:spacing w:val="-2"/>
                <w:sz w:val="24"/>
              </w:rPr>
            </w:pPr>
            <w:r>
              <w:rPr>
                <w:spacing w:val="-2"/>
                <w:sz w:val="24"/>
              </w:rPr>
              <w:t>PHYS 777 – The course will provide the basic understanding of the notions and formalism of quantum information, with some elements of quantum computing.  This area of knowledge is rapidly developing and likely to lead to technological advances, e.g. quantum computers.</w:t>
            </w:r>
          </w:p>
          <w:p w14:paraId="56EB266F" w14:textId="77777777" w:rsidR="00AD603A" w:rsidRDefault="00AD603A" w:rsidP="00A71DC6">
            <w:pPr>
              <w:jc w:val="both"/>
              <w:rPr>
                <w:spacing w:val="-2"/>
                <w:sz w:val="24"/>
              </w:rPr>
            </w:pPr>
          </w:p>
          <w:p w14:paraId="0C389865" w14:textId="0CF8804D" w:rsidR="00AD603A" w:rsidRPr="009C55A8" w:rsidRDefault="00AD603A" w:rsidP="0036483E">
            <w:pPr>
              <w:jc w:val="both"/>
              <w:rPr>
                <w:spacing w:val="-2"/>
                <w:sz w:val="24"/>
              </w:rPr>
            </w:pPr>
            <w:r w:rsidRPr="00C075E7">
              <w:rPr>
                <w:spacing w:val="-2"/>
                <w:sz w:val="24"/>
              </w:rPr>
              <w:t>The proposed new course, CSC 76</w:t>
            </w:r>
            <w:r>
              <w:rPr>
                <w:spacing w:val="-2"/>
                <w:sz w:val="24"/>
              </w:rPr>
              <w:t>6</w:t>
            </w:r>
            <w:r w:rsidRPr="00C075E7">
              <w:rPr>
                <w:spacing w:val="-2"/>
                <w:sz w:val="24"/>
              </w:rPr>
              <w:t>, is unique and distinct from existing courses such as PHYS 777 listed in the catalog</w:t>
            </w:r>
            <w:r w:rsidR="0036483E">
              <w:rPr>
                <w:spacing w:val="-2"/>
                <w:sz w:val="24"/>
              </w:rPr>
              <w:t xml:space="preserve">. </w:t>
            </w:r>
            <w:r w:rsidR="00B43C84" w:rsidRPr="00B43C84">
              <w:rPr>
                <w:spacing w:val="-2"/>
                <w:sz w:val="24"/>
              </w:rPr>
              <w:t xml:space="preserve">PHYS 777 provides the basic understanding of the notions and formalism of quantum information, with some elements of quantum computing. </w:t>
            </w:r>
            <w:r w:rsidR="009C55A8" w:rsidRPr="009C55A8">
              <w:rPr>
                <w:spacing w:val="-2"/>
                <w:sz w:val="24"/>
              </w:rPr>
              <w:t xml:space="preserve">CSC 766 focuses on helping students understand quantum algorithms and teaches them how to write and comprehend quantum programs using frameworks like Qiskit. </w:t>
            </w:r>
            <w:r w:rsidR="0036483E">
              <w:rPr>
                <w:spacing w:val="-2"/>
                <w:sz w:val="24"/>
              </w:rPr>
              <w:t>CSC 784 and PHYS 777 are two distinct courses.</w:t>
            </w:r>
          </w:p>
          <w:p w14:paraId="56E50AD6" w14:textId="0DD7A5B8" w:rsidR="00E24236" w:rsidRPr="00B17DC4" w:rsidRDefault="00E24236" w:rsidP="00A71DC6">
            <w:pPr>
              <w:jc w:val="both"/>
              <w:rPr>
                <w:spacing w:val="-2"/>
                <w:sz w:val="24"/>
              </w:rPr>
            </w:pPr>
          </w:p>
        </w:tc>
      </w:tr>
    </w:tbl>
    <w:p w14:paraId="6D3162F0"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4D56C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End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24D6885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r>
            <w:r w:rsidR="00572A9F">
              <w:rPr>
                <w:spacing w:val="-2"/>
                <w:sz w:val="24"/>
              </w:rPr>
              <w:t>DSU will add this course into the rotation with current</w:t>
            </w:r>
            <w:r w:rsidR="009B039C">
              <w:rPr>
                <w:spacing w:val="-2"/>
                <w:sz w:val="24"/>
              </w:rPr>
              <w:t xml:space="preserve"> and newly hired faculty with this expertise.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6478729A" w:rsidR="00BB6B45" w:rsidRDefault="00BB6B45" w:rsidP="008B5F67">
      <w:pPr>
        <w:rPr>
          <w:spacing w:val="-2"/>
          <w:sz w:val="24"/>
        </w:rPr>
      </w:pPr>
    </w:p>
    <w:p w14:paraId="77B65E35" w14:textId="46194164"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8426E3">
        <w:rPr>
          <w:spacing w:val="-2"/>
          <w:sz w:val="24"/>
        </w:rPr>
        <w:br/>
      </w:r>
      <w:r w:rsidR="008426E3">
        <w:rPr>
          <w:spacing w:val="-2"/>
          <w:sz w:val="24"/>
        </w:rPr>
        <w:br/>
      </w:r>
      <w:r w:rsidR="009E463E">
        <w:rPr>
          <w:spacing w:val="-2"/>
          <w:sz w:val="24"/>
        </w:rPr>
        <w:t>Quantum Computing Certificate.</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56812EB3"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D371E4">
        <w:rPr>
          <w:spacing w:val="-2"/>
          <w:sz w:val="24"/>
        </w:rPr>
        <w:t xml:space="preserve">Fall </w:t>
      </w:r>
      <w:r w:rsidR="00DF1D6F">
        <w:rPr>
          <w:spacing w:val="-2"/>
          <w:sz w:val="24"/>
        </w:rPr>
        <w:t>202</w:t>
      </w:r>
      <w:r w:rsidR="009844CF">
        <w:rPr>
          <w:spacing w:val="-2"/>
          <w:sz w:val="24"/>
        </w:rPr>
        <w:t>4</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1B72D735" w:rsidR="007264AF" w:rsidRDefault="009844CF" w:rsidP="00EA74F7">
            <w:pPr>
              <w:rPr>
                <w:spacing w:val="-2"/>
                <w:sz w:val="24"/>
              </w:rPr>
            </w:pPr>
            <w:r>
              <w:rPr>
                <w:spacing w:val="-2"/>
                <w:sz w:val="24"/>
              </w:rPr>
              <w:t xml:space="preserve">The Beacom College of </w:t>
            </w:r>
            <w:r w:rsidR="00DF1D6F">
              <w:rPr>
                <w:spacing w:val="-2"/>
                <w:sz w:val="24"/>
              </w:rPr>
              <w:t xml:space="preserve">Computer </w:t>
            </w:r>
            <w:r>
              <w:rPr>
                <w:spacing w:val="-2"/>
                <w:sz w:val="24"/>
              </w:rPr>
              <w:t>and</w:t>
            </w:r>
            <w:r w:rsidR="00DF1D6F">
              <w:rPr>
                <w:spacing w:val="-2"/>
                <w:sz w:val="24"/>
              </w:rPr>
              <w:t xml:space="preserve"> Cyber Sciences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619072F4" w:rsidR="00151739" w:rsidRDefault="00BE4F72" w:rsidP="009D19A4">
            <w:pPr>
              <w:rPr>
                <w:spacing w:val="-2"/>
                <w:sz w:val="24"/>
              </w:rPr>
            </w:pPr>
            <w:r>
              <w:rPr>
                <w:spacing w:val="-2"/>
                <w:sz w:val="24"/>
              </w:rPr>
              <w:t>DCSI</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4BBB885B" w:rsidR="004F67DD" w:rsidRDefault="00BE4F72" w:rsidP="00EA74F7">
            <w:pPr>
              <w:rPr>
                <w:spacing w:val="-2"/>
                <w:sz w:val="24"/>
              </w:rPr>
            </w:pPr>
            <w:r>
              <w:rPr>
                <w:spacing w:val="-2"/>
                <w:sz w:val="24"/>
              </w:rPr>
              <w:t>11.0401</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034423">
      <w:pPr>
        <w:rPr>
          <w:spacing w:val="-2"/>
          <w:sz w:val="24"/>
        </w:rPr>
      </w:pPr>
    </w:p>
    <w:sectPr w:rsidR="007264A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E299" w14:textId="77777777" w:rsidR="00B57639" w:rsidRDefault="00B57639" w:rsidP="00193C86">
      <w:r>
        <w:separator/>
      </w:r>
    </w:p>
  </w:endnote>
  <w:endnote w:type="continuationSeparator" w:id="0">
    <w:p w14:paraId="2A5F4E0F" w14:textId="77777777" w:rsidR="00B57639" w:rsidRDefault="00B5763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2D89" w14:textId="77777777" w:rsidR="00B57639" w:rsidRDefault="00B57639" w:rsidP="00193C86">
      <w:r>
        <w:separator/>
      </w:r>
    </w:p>
  </w:footnote>
  <w:footnote w:type="continuationSeparator" w:id="0">
    <w:p w14:paraId="37142BEB" w14:textId="77777777" w:rsidR="00B57639" w:rsidRDefault="00B5763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0D2DAA"/>
    <w:multiLevelType w:val="hybridMultilevel"/>
    <w:tmpl w:val="0EEA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215184">
    <w:abstractNumId w:val="5"/>
  </w:num>
  <w:num w:numId="2" w16cid:durableId="790704073">
    <w:abstractNumId w:val="4"/>
  </w:num>
  <w:num w:numId="3" w16cid:durableId="1559170337">
    <w:abstractNumId w:val="7"/>
  </w:num>
  <w:num w:numId="4" w16cid:durableId="1780563844">
    <w:abstractNumId w:val="3"/>
  </w:num>
  <w:num w:numId="5" w16cid:durableId="1606962115">
    <w:abstractNumId w:val="13"/>
  </w:num>
  <w:num w:numId="6" w16cid:durableId="228732389">
    <w:abstractNumId w:val="14"/>
  </w:num>
  <w:num w:numId="7" w16cid:durableId="1841431416">
    <w:abstractNumId w:val="1"/>
  </w:num>
  <w:num w:numId="8" w16cid:durableId="2056350857">
    <w:abstractNumId w:val="9"/>
  </w:num>
  <w:num w:numId="9" w16cid:durableId="18820504">
    <w:abstractNumId w:val="11"/>
  </w:num>
  <w:num w:numId="10" w16cid:durableId="1881700903">
    <w:abstractNumId w:val="12"/>
  </w:num>
  <w:num w:numId="11" w16cid:durableId="1011102887">
    <w:abstractNumId w:val="6"/>
  </w:num>
  <w:num w:numId="12" w16cid:durableId="1306550963">
    <w:abstractNumId w:val="10"/>
  </w:num>
  <w:num w:numId="13" w16cid:durableId="779227315">
    <w:abstractNumId w:val="2"/>
  </w:num>
  <w:num w:numId="14" w16cid:durableId="634607344">
    <w:abstractNumId w:val="0"/>
  </w:num>
  <w:num w:numId="15" w16cid:durableId="1394501446">
    <w:abstractNumId w:val="8"/>
  </w:num>
  <w:num w:numId="16" w16cid:durableId="15580851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4362"/>
    <w:rsid w:val="00006BCE"/>
    <w:rsid w:val="00023058"/>
    <w:rsid w:val="00034423"/>
    <w:rsid w:val="00075935"/>
    <w:rsid w:val="00076909"/>
    <w:rsid w:val="000B6EC4"/>
    <w:rsid w:val="000C7E66"/>
    <w:rsid w:val="001027BE"/>
    <w:rsid w:val="00103082"/>
    <w:rsid w:val="00113F8D"/>
    <w:rsid w:val="00123FE8"/>
    <w:rsid w:val="00142F19"/>
    <w:rsid w:val="00143B82"/>
    <w:rsid w:val="00145547"/>
    <w:rsid w:val="00151739"/>
    <w:rsid w:val="00155A55"/>
    <w:rsid w:val="00171D84"/>
    <w:rsid w:val="0018503F"/>
    <w:rsid w:val="00187FB9"/>
    <w:rsid w:val="00192FC1"/>
    <w:rsid w:val="00193C86"/>
    <w:rsid w:val="00194A20"/>
    <w:rsid w:val="001B0006"/>
    <w:rsid w:val="001B218A"/>
    <w:rsid w:val="001B519C"/>
    <w:rsid w:val="001C213A"/>
    <w:rsid w:val="001C345E"/>
    <w:rsid w:val="001D1169"/>
    <w:rsid w:val="001D5E83"/>
    <w:rsid w:val="001E60AF"/>
    <w:rsid w:val="001F4591"/>
    <w:rsid w:val="00201122"/>
    <w:rsid w:val="00205AC1"/>
    <w:rsid w:val="00217036"/>
    <w:rsid w:val="00231663"/>
    <w:rsid w:val="00246DEC"/>
    <w:rsid w:val="0025352E"/>
    <w:rsid w:val="00260CDE"/>
    <w:rsid w:val="00265C64"/>
    <w:rsid w:val="00285247"/>
    <w:rsid w:val="00287FE5"/>
    <w:rsid w:val="002902C1"/>
    <w:rsid w:val="002906A0"/>
    <w:rsid w:val="002936DD"/>
    <w:rsid w:val="002A2495"/>
    <w:rsid w:val="002A5427"/>
    <w:rsid w:val="002D345B"/>
    <w:rsid w:val="002E67ED"/>
    <w:rsid w:val="00311BB3"/>
    <w:rsid w:val="0032349F"/>
    <w:rsid w:val="00330633"/>
    <w:rsid w:val="00354BF9"/>
    <w:rsid w:val="0036483E"/>
    <w:rsid w:val="00377961"/>
    <w:rsid w:val="003943CC"/>
    <w:rsid w:val="00397468"/>
    <w:rsid w:val="003C2AA0"/>
    <w:rsid w:val="003C7D57"/>
    <w:rsid w:val="003E69F8"/>
    <w:rsid w:val="004046B2"/>
    <w:rsid w:val="00414146"/>
    <w:rsid w:val="004143D0"/>
    <w:rsid w:val="00430148"/>
    <w:rsid w:val="00434733"/>
    <w:rsid w:val="00446C6D"/>
    <w:rsid w:val="00466BD5"/>
    <w:rsid w:val="00475797"/>
    <w:rsid w:val="00476F84"/>
    <w:rsid w:val="00482868"/>
    <w:rsid w:val="0048543A"/>
    <w:rsid w:val="004A5C62"/>
    <w:rsid w:val="004A670F"/>
    <w:rsid w:val="004B7303"/>
    <w:rsid w:val="004C4A61"/>
    <w:rsid w:val="004D3083"/>
    <w:rsid w:val="004D522C"/>
    <w:rsid w:val="004D56C7"/>
    <w:rsid w:val="004D7B32"/>
    <w:rsid w:val="004E2E84"/>
    <w:rsid w:val="004F27D6"/>
    <w:rsid w:val="004F67DD"/>
    <w:rsid w:val="004F72E5"/>
    <w:rsid w:val="005327C8"/>
    <w:rsid w:val="0053781C"/>
    <w:rsid w:val="005379CF"/>
    <w:rsid w:val="005435B7"/>
    <w:rsid w:val="0054427B"/>
    <w:rsid w:val="005526BD"/>
    <w:rsid w:val="00555023"/>
    <w:rsid w:val="00572A9F"/>
    <w:rsid w:val="005954B9"/>
    <w:rsid w:val="005A7FA3"/>
    <w:rsid w:val="005B08CE"/>
    <w:rsid w:val="005E1A9C"/>
    <w:rsid w:val="005E37FC"/>
    <w:rsid w:val="006261A9"/>
    <w:rsid w:val="0063414D"/>
    <w:rsid w:val="00637DFB"/>
    <w:rsid w:val="00643B0A"/>
    <w:rsid w:val="006D2A9F"/>
    <w:rsid w:val="006D4E72"/>
    <w:rsid w:val="006D708F"/>
    <w:rsid w:val="006F23E0"/>
    <w:rsid w:val="006F624A"/>
    <w:rsid w:val="00700B8D"/>
    <w:rsid w:val="00705A9C"/>
    <w:rsid w:val="00707D91"/>
    <w:rsid w:val="007264AF"/>
    <w:rsid w:val="00727DC0"/>
    <w:rsid w:val="00765244"/>
    <w:rsid w:val="00780450"/>
    <w:rsid w:val="0078147E"/>
    <w:rsid w:val="00795246"/>
    <w:rsid w:val="007A0FB1"/>
    <w:rsid w:val="007A4C65"/>
    <w:rsid w:val="007C7DC8"/>
    <w:rsid w:val="007D6A8B"/>
    <w:rsid w:val="007E6532"/>
    <w:rsid w:val="007E6E7D"/>
    <w:rsid w:val="007F7484"/>
    <w:rsid w:val="00800981"/>
    <w:rsid w:val="008074EE"/>
    <w:rsid w:val="0081310A"/>
    <w:rsid w:val="0082633E"/>
    <w:rsid w:val="008426E3"/>
    <w:rsid w:val="0084510C"/>
    <w:rsid w:val="00854C5D"/>
    <w:rsid w:val="00877478"/>
    <w:rsid w:val="00886A30"/>
    <w:rsid w:val="008A2109"/>
    <w:rsid w:val="008B5F67"/>
    <w:rsid w:val="008C046D"/>
    <w:rsid w:val="008C1371"/>
    <w:rsid w:val="008D5DEE"/>
    <w:rsid w:val="008E2E7B"/>
    <w:rsid w:val="008E504E"/>
    <w:rsid w:val="008E7F43"/>
    <w:rsid w:val="0090012F"/>
    <w:rsid w:val="009102CF"/>
    <w:rsid w:val="00953B1D"/>
    <w:rsid w:val="00956431"/>
    <w:rsid w:val="00960589"/>
    <w:rsid w:val="00964D4D"/>
    <w:rsid w:val="00975DED"/>
    <w:rsid w:val="00982E18"/>
    <w:rsid w:val="0098433C"/>
    <w:rsid w:val="009844CF"/>
    <w:rsid w:val="009A016B"/>
    <w:rsid w:val="009B039C"/>
    <w:rsid w:val="009C3CA8"/>
    <w:rsid w:val="009C55A8"/>
    <w:rsid w:val="009D05E2"/>
    <w:rsid w:val="009D7BC5"/>
    <w:rsid w:val="009E333B"/>
    <w:rsid w:val="009E463E"/>
    <w:rsid w:val="009F2BCE"/>
    <w:rsid w:val="009F3141"/>
    <w:rsid w:val="00A01B42"/>
    <w:rsid w:val="00A01CD3"/>
    <w:rsid w:val="00A071F4"/>
    <w:rsid w:val="00A24C0C"/>
    <w:rsid w:val="00A3328E"/>
    <w:rsid w:val="00A34D50"/>
    <w:rsid w:val="00A3769E"/>
    <w:rsid w:val="00A4711D"/>
    <w:rsid w:val="00A71DC6"/>
    <w:rsid w:val="00A776C9"/>
    <w:rsid w:val="00A839E0"/>
    <w:rsid w:val="00AA0883"/>
    <w:rsid w:val="00AA38EF"/>
    <w:rsid w:val="00AA411D"/>
    <w:rsid w:val="00AC30B9"/>
    <w:rsid w:val="00AD603A"/>
    <w:rsid w:val="00AE2164"/>
    <w:rsid w:val="00AF68AC"/>
    <w:rsid w:val="00AF69A7"/>
    <w:rsid w:val="00B10947"/>
    <w:rsid w:val="00B14FF5"/>
    <w:rsid w:val="00B17DC4"/>
    <w:rsid w:val="00B22470"/>
    <w:rsid w:val="00B2535B"/>
    <w:rsid w:val="00B40BEC"/>
    <w:rsid w:val="00B43C84"/>
    <w:rsid w:val="00B5594A"/>
    <w:rsid w:val="00B57639"/>
    <w:rsid w:val="00B607D6"/>
    <w:rsid w:val="00B65188"/>
    <w:rsid w:val="00B81C7C"/>
    <w:rsid w:val="00B86A8B"/>
    <w:rsid w:val="00B94ED9"/>
    <w:rsid w:val="00B9591C"/>
    <w:rsid w:val="00B9714A"/>
    <w:rsid w:val="00BB0F8B"/>
    <w:rsid w:val="00BB6B45"/>
    <w:rsid w:val="00BD4589"/>
    <w:rsid w:val="00BE4F72"/>
    <w:rsid w:val="00BE5E91"/>
    <w:rsid w:val="00C27D22"/>
    <w:rsid w:val="00C33A19"/>
    <w:rsid w:val="00C342BB"/>
    <w:rsid w:val="00C73553"/>
    <w:rsid w:val="00C80698"/>
    <w:rsid w:val="00CB0E93"/>
    <w:rsid w:val="00CB4BA4"/>
    <w:rsid w:val="00CC323C"/>
    <w:rsid w:val="00CC553B"/>
    <w:rsid w:val="00CD19F6"/>
    <w:rsid w:val="00CE4553"/>
    <w:rsid w:val="00CF10B4"/>
    <w:rsid w:val="00D00D43"/>
    <w:rsid w:val="00D0331E"/>
    <w:rsid w:val="00D10914"/>
    <w:rsid w:val="00D2387D"/>
    <w:rsid w:val="00D27F10"/>
    <w:rsid w:val="00D3098B"/>
    <w:rsid w:val="00D371E4"/>
    <w:rsid w:val="00D45CE1"/>
    <w:rsid w:val="00D52CB6"/>
    <w:rsid w:val="00D66B32"/>
    <w:rsid w:val="00D813B5"/>
    <w:rsid w:val="00D86102"/>
    <w:rsid w:val="00DD158A"/>
    <w:rsid w:val="00DE12ED"/>
    <w:rsid w:val="00DE511C"/>
    <w:rsid w:val="00DF1D6F"/>
    <w:rsid w:val="00E15C71"/>
    <w:rsid w:val="00E24236"/>
    <w:rsid w:val="00E31280"/>
    <w:rsid w:val="00E37F4E"/>
    <w:rsid w:val="00E51918"/>
    <w:rsid w:val="00E521B7"/>
    <w:rsid w:val="00E555AA"/>
    <w:rsid w:val="00E749AE"/>
    <w:rsid w:val="00E80AE8"/>
    <w:rsid w:val="00E816A1"/>
    <w:rsid w:val="00EA044B"/>
    <w:rsid w:val="00EA66E9"/>
    <w:rsid w:val="00EA74F7"/>
    <w:rsid w:val="00F01C5B"/>
    <w:rsid w:val="00F134AE"/>
    <w:rsid w:val="00F16ABE"/>
    <w:rsid w:val="00F23B94"/>
    <w:rsid w:val="00F31754"/>
    <w:rsid w:val="00F37BFE"/>
    <w:rsid w:val="00F626D4"/>
    <w:rsid w:val="00F75CDA"/>
    <w:rsid w:val="00F81D01"/>
    <w:rsid w:val="00F84D99"/>
    <w:rsid w:val="00FA2CD6"/>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F6B08"/>
    <w:rsid w:val="004E0AA6"/>
    <w:rsid w:val="005573C1"/>
    <w:rsid w:val="00577AA4"/>
    <w:rsid w:val="005B2D05"/>
    <w:rsid w:val="00A00CC9"/>
    <w:rsid w:val="00A82EBC"/>
    <w:rsid w:val="00B64ECC"/>
    <w:rsid w:val="00D24DA1"/>
    <w:rsid w:val="00F649AA"/>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F0093C55-1B74-4912-9C0C-2C58CF6B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21</cp:revision>
  <cp:lastPrinted>2024-01-10T17:34:00Z</cp:lastPrinted>
  <dcterms:created xsi:type="dcterms:W3CDTF">2024-01-10T17:34:00Z</dcterms:created>
  <dcterms:modified xsi:type="dcterms:W3CDTF">2024-02-12T21:43:00Z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