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3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4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5C079280" w:rsidR="00BD3C3B" w:rsidRPr="00FE585B" w:rsidRDefault="004709E8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865F36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334ED9EE" w:rsidR="00BD3C3B" w:rsidRPr="00FE585B" w:rsidRDefault="00686CAC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PhD Information Systems</w:t>
            </w:r>
            <w:r w:rsidR="00670E50">
              <w:rPr>
                <w:b/>
                <w:bCs/>
                <w:sz w:val="24"/>
                <w:szCs w:val="24"/>
              </w:rPr>
              <w:t xml:space="preserve"> – Information Systems Cyber Security Specialization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768E5BC5" w:rsidR="00BD3C3B" w:rsidRPr="00FE585B" w:rsidRDefault="00670E5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11.0401</w:t>
            </w: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60DA9A79" w:rsidR="00BD3C3B" w:rsidRPr="00FE585B" w:rsidRDefault="00670E5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DINFS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70C59FA8" w:rsidR="00BD3C3B" w:rsidRPr="00FE585B" w:rsidRDefault="00670E5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DCBIS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0F6E4022" w:rsidR="00FE585B" w:rsidRDefault="00670E50" w:rsidP="00670E5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9F0F34" wp14:editId="581706DF">
                  <wp:extent cx="1922082" cy="638138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772" cy="648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2-01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5F3DA16A" w:rsidR="00FE585B" w:rsidRDefault="00670E50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1/25/2022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7E47DE79" w:rsidR="002B4787" w:rsidRDefault="00686CAC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2FA6EFFD" w:rsidR="002B4787" w:rsidRDefault="00686CAC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228CD0A6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2-05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0E50">
            <w:rPr>
              <w:b/>
              <w:spacing w:val="-2"/>
              <w:sz w:val="24"/>
            </w:rPr>
            <w:t>5/9/2022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27"/>
      </w:tblGrid>
      <w:tr w:rsidR="002B4787" w14:paraId="3C3A4CB3" w14:textId="77777777" w:rsidTr="00744878">
        <w:tc>
          <w:tcPr>
            <w:tcW w:w="1260" w:type="dxa"/>
          </w:tcPr>
          <w:p w14:paraId="3C3A4CA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2D33B49F" w:rsidR="002B4787" w:rsidRPr="002F4625" w:rsidRDefault="00686CAC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744878">
        <w:tc>
          <w:tcPr>
            <w:tcW w:w="1260" w:type="dxa"/>
          </w:tcPr>
          <w:p w14:paraId="3C3A4CB7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5ECC30AD" w:rsidR="002B4787" w:rsidRPr="002F4625" w:rsidRDefault="00686CAC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398D96A6" w:rsidR="002B4787" w:rsidRPr="002F4625" w:rsidRDefault="00686CAC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5"/>
        <w:gridCol w:w="690"/>
        <w:gridCol w:w="2637"/>
        <w:gridCol w:w="581"/>
        <w:gridCol w:w="90"/>
        <w:gridCol w:w="180"/>
        <w:gridCol w:w="675"/>
        <w:gridCol w:w="697"/>
        <w:gridCol w:w="2500"/>
        <w:gridCol w:w="630"/>
      </w:tblGrid>
      <w:tr w:rsidR="00E93E9F" w14:paraId="3C3A4CC6" w14:textId="77777777" w:rsidTr="00670E50">
        <w:tc>
          <w:tcPr>
            <w:tcW w:w="4673" w:type="dxa"/>
            <w:gridSpan w:val="5"/>
            <w:tcBorders>
              <w:top w:val="nil"/>
              <w:left w:val="nil"/>
              <w:right w:val="nil"/>
            </w:tcBorders>
          </w:tcPr>
          <w:p w14:paraId="3C3A4CC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2" w:type="dxa"/>
            <w:gridSpan w:val="5"/>
            <w:tcBorders>
              <w:top w:val="nil"/>
              <w:left w:val="nil"/>
              <w:right w:val="nil"/>
            </w:tcBorders>
          </w:tcPr>
          <w:p w14:paraId="3C3A4CC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711C37" w14:paraId="3C3A4CD1" w14:textId="77777777" w:rsidTr="00670E50">
        <w:tc>
          <w:tcPr>
            <w:tcW w:w="675" w:type="dxa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0" w:type="dxa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37" w:type="dxa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3C3A4C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C3A4C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670E50" w14:paraId="2134E195" w14:textId="77777777" w:rsidTr="00D45C58">
        <w:tc>
          <w:tcPr>
            <w:tcW w:w="4002" w:type="dxa"/>
            <w:gridSpan w:val="3"/>
          </w:tcPr>
          <w:p w14:paraId="3283F64E" w14:textId="3C77A7FF" w:rsidR="00670E50" w:rsidRDefault="00670E50" w:rsidP="00670E5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Information Systems Cyber Security</w:t>
            </w:r>
            <w:r>
              <w:rPr>
                <w:spacing w:val="-2"/>
              </w:rPr>
              <w:t xml:space="preserve"> Specialization</w:t>
            </w:r>
          </w:p>
        </w:tc>
        <w:tc>
          <w:tcPr>
            <w:tcW w:w="581" w:type="dxa"/>
          </w:tcPr>
          <w:p w14:paraId="0B8CD72B" w14:textId="77328C8E" w:rsidR="00670E50" w:rsidRDefault="00670E50" w:rsidP="00670E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5275561" w14:textId="77777777" w:rsidR="00670E50" w:rsidRPr="000F7054" w:rsidRDefault="00670E50" w:rsidP="00670E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3348FDAD" w14:textId="1D172269" w:rsidR="00670E50" w:rsidRDefault="00670E50" w:rsidP="00670E5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Information Systems Cyber Security Specialization</w:t>
            </w:r>
          </w:p>
        </w:tc>
        <w:tc>
          <w:tcPr>
            <w:tcW w:w="630" w:type="dxa"/>
          </w:tcPr>
          <w:p w14:paraId="12389EE8" w14:textId="1B8FDD54" w:rsidR="00670E50" w:rsidRDefault="00670E50" w:rsidP="00670E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</w:tr>
      <w:tr w:rsidR="004709E8" w14:paraId="22B03B81" w14:textId="77777777" w:rsidTr="00670E50">
        <w:tc>
          <w:tcPr>
            <w:tcW w:w="675" w:type="dxa"/>
          </w:tcPr>
          <w:p w14:paraId="0F4DE9B6" w14:textId="357424A1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0" w:type="dxa"/>
          </w:tcPr>
          <w:p w14:paraId="3B0BAC28" w14:textId="62DABF6D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637" w:type="dxa"/>
          </w:tcPr>
          <w:p w14:paraId="49D8477B" w14:textId="5D3A0E15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Principles of Information Assurance</w:t>
            </w:r>
          </w:p>
        </w:tc>
        <w:tc>
          <w:tcPr>
            <w:tcW w:w="581" w:type="dxa"/>
          </w:tcPr>
          <w:p w14:paraId="093B286E" w14:textId="173B226F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D8AC945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10583695" w14:textId="7A0F1AC2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7" w:type="dxa"/>
          </w:tcPr>
          <w:p w14:paraId="2332B5CB" w14:textId="30826D9A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500" w:type="dxa"/>
          </w:tcPr>
          <w:p w14:paraId="6B74E10B" w14:textId="16B380CB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Principles of Information Assurance</w:t>
            </w:r>
          </w:p>
        </w:tc>
        <w:tc>
          <w:tcPr>
            <w:tcW w:w="630" w:type="dxa"/>
          </w:tcPr>
          <w:p w14:paraId="7DEA5AF4" w14:textId="7F60A909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709E8" w14:paraId="5C621F4C" w14:textId="77777777" w:rsidTr="00670E50">
        <w:tc>
          <w:tcPr>
            <w:tcW w:w="675" w:type="dxa"/>
          </w:tcPr>
          <w:p w14:paraId="7BB8CB76" w14:textId="02E5A882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0" w:type="dxa"/>
          </w:tcPr>
          <w:p w14:paraId="7B625D95" w14:textId="2B00EAF3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713</w:t>
            </w:r>
          </w:p>
        </w:tc>
        <w:tc>
          <w:tcPr>
            <w:tcW w:w="2637" w:type="dxa"/>
          </w:tcPr>
          <w:p w14:paraId="07AD16BE" w14:textId="4F0E5256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Managing Security Risks</w:t>
            </w:r>
          </w:p>
        </w:tc>
        <w:tc>
          <w:tcPr>
            <w:tcW w:w="581" w:type="dxa"/>
          </w:tcPr>
          <w:p w14:paraId="164E2302" w14:textId="737986EE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EA1CF1B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30930E4F" w14:textId="3A41AE70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7" w:type="dxa"/>
          </w:tcPr>
          <w:p w14:paraId="1498BBD4" w14:textId="04CDD562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713</w:t>
            </w:r>
          </w:p>
        </w:tc>
        <w:tc>
          <w:tcPr>
            <w:tcW w:w="2500" w:type="dxa"/>
          </w:tcPr>
          <w:p w14:paraId="426A604C" w14:textId="677FCA25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Managing Security Risks</w:t>
            </w:r>
          </w:p>
        </w:tc>
        <w:tc>
          <w:tcPr>
            <w:tcW w:w="630" w:type="dxa"/>
          </w:tcPr>
          <w:p w14:paraId="05FD2ADD" w14:textId="2C7ADA77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709E8" w14:paraId="2596585C" w14:textId="77777777" w:rsidTr="00670E50">
        <w:tc>
          <w:tcPr>
            <w:tcW w:w="675" w:type="dxa"/>
          </w:tcPr>
          <w:p w14:paraId="17509A99" w14:textId="23C35B1B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690" w:type="dxa"/>
          </w:tcPr>
          <w:p w14:paraId="0A479A41" w14:textId="24F86349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848</w:t>
            </w:r>
          </w:p>
        </w:tc>
        <w:tc>
          <w:tcPr>
            <w:tcW w:w="2637" w:type="dxa"/>
          </w:tcPr>
          <w:p w14:paraId="77F56BB4" w14:textId="521A1CBC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Info Assurance/Cyber Security Research</w:t>
            </w:r>
          </w:p>
        </w:tc>
        <w:tc>
          <w:tcPr>
            <w:tcW w:w="581" w:type="dxa"/>
          </w:tcPr>
          <w:p w14:paraId="1D31CC28" w14:textId="4ECD3EB9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A71E670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1EA20A3E" w14:textId="001BC5BA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697" w:type="dxa"/>
          </w:tcPr>
          <w:p w14:paraId="496F9ECD" w14:textId="447D106A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848</w:t>
            </w:r>
          </w:p>
        </w:tc>
        <w:tc>
          <w:tcPr>
            <w:tcW w:w="2500" w:type="dxa"/>
          </w:tcPr>
          <w:p w14:paraId="5A2BF3BD" w14:textId="0CEB93EB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Info Assurance/Cyber Security Research</w:t>
            </w:r>
          </w:p>
        </w:tc>
        <w:tc>
          <w:tcPr>
            <w:tcW w:w="630" w:type="dxa"/>
          </w:tcPr>
          <w:p w14:paraId="63328E9F" w14:textId="44966554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709E8" w14:paraId="4A02891B" w14:textId="77777777" w:rsidTr="00670E50">
        <w:tc>
          <w:tcPr>
            <w:tcW w:w="675" w:type="dxa"/>
          </w:tcPr>
          <w:p w14:paraId="4025988D" w14:textId="7C73A843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690" w:type="dxa"/>
          </w:tcPr>
          <w:p w14:paraId="7D5A2D5D" w14:textId="120D522D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890</w:t>
            </w:r>
          </w:p>
        </w:tc>
        <w:tc>
          <w:tcPr>
            <w:tcW w:w="2637" w:type="dxa"/>
          </w:tcPr>
          <w:p w14:paraId="078B4851" w14:textId="3CACC611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Seminar</w:t>
            </w:r>
          </w:p>
        </w:tc>
        <w:tc>
          <w:tcPr>
            <w:tcW w:w="581" w:type="dxa"/>
          </w:tcPr>
          <w:p w14:paraId="056204E6" w14:textId="4B374AB9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C62AB3F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10505280" w14:textId="58BA21E1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697" w:type="dxa"/>
          </w:tcPr>
          <w:p w14:paraId="7479BE55" w14:textId="77B290D2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890</w:t>
            </w:r>
          </w:p>
        </w:tc>
        <w:tc>
          <w:tcPr>
            <w:tcW w:w="2500" w:type="dxa"/>
          </w:tcPr>
          <w:p w14:paraId="7D87A7CE" w14:textId="186AD18F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Seminar</w:t>
            </w:r>
          </w:p>
        </w:tc>
        <w:tc>
          <w:tcPr>
            <w:tcW w:w="630" w:type="dxa"/>
          </w:tcPr>
          <w:p w14:paraId="583D7D73" w14:textId="54F62BCC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  <w:tr w:rsidR="004709E8" w14:paraId="120A15E9" w14:textId="77777777" w:rsidTr="00F15F6D">
        <w:tc>
          <w:tcPr>
            <w:tcW w:w="4002" w:type="dxa"/>
            <w:gridSpan w:val="3"/>
          </w:tcPr>
          <w:p w14:paraId="44AAC76B" w14:textId="472DD638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Specialization Electives</w:t>
            </w:r>
          </w:p>
        </w:tc>
        <w:tc>
          <w:tcPr>
            <w:tcW w:w="581" w:type="dxa"/>
          </w:tcPr>
          <w:p w14:paraId="66B1294A" w14:textId="4480089F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589D86C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2" w:type="dxa"/>
            <w:gridSpan w:val="3"/>
          </w:tcPr>
          <w:p w14:paraId="5B0D3783" w14:textId="4210605D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Specialization Electives</w:t>
            </w:r>
          </w:p>
        </w:tc>
        <w:tc>
          <w:tcPr>
            <w:tcW w:w="630" w:type="dxa"/>
          </w:tcPr>
          <w:p w14:paraId="25178305" w14:textId="094DACB3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  <w:tr w:rsidR="004709E8" w14:paraId="2B4EE70C" w14:textId="77777777" w:rsidTr="00670E50">
        <w:tc>
          <w:tcPr>
            <w:tcW w:w="675" w:type="dxa"/>
          </w:tcPr>
          <w:p w14:paraId="3E1709E5" w14:textId="4B77881E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0" w:type="dxa"/>
          </w:tcPr>
          <w:p w14:paraId="14E36D1C" w14:textId="43ADB81F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715</w:t>
            </w:r>
          </w:p>
        </w:tc>
        <w:tc>
          <w:tcPr>
            <w:tcW w:w="2637" w:type="dxa"/>
          </w:tcPr>
          <w:p w14:paraId="73DD999E" w14:textId="7A7D5334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Data Privacy</w:t>
            </w:r>
          </w:p>
        </w:tc>
        <w:tc>
          <w:tcPr>
            <w:tcW w:w="581" w:type="dxa"/>
          </w:tcPr>
          <w:p w14:paraId="175B496C" w14:textId="34EDD8D8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41C7400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729AED94" w14:textId="516D7D7C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7" w:type="dxa"/>
          </w:tcPr>
          <w:p w14:paraId="3C992ED7" w14:textId="7073D111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715</w:t>
            </w:r>
          </w:p>
        </w:tc>
        <w:tc>
          <w:tcPr>
            <w:tcW w:w="2500" w:type="dxa"/>
          </w:tcPr>
          <w:p w14:paraId="5BA6D37B" w14:textId="26285CE8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Data Privacy</w:t>
            </w:r>
          </w:p>
        </w:tc>
        <w:tc>
          <w:tcPr>
            <w:tcW w:w="630" w:type="dxa"/>
          </w:tcPr>
          <w:p w14:paraId="2A0C0CAC" w14:textId="75810120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709E8" w14:paraId="3C3A4CEF" w14:textId="77777777" w:rsidTr="00670E50">
        <w:tc>
          <w:tcPr>
            <w:tcW w:w="675" w:type="dxa"/>
          </w:tcPr>
          <w:p w14:paraId="3C3A4CE6" w14:textId="35257861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0" w:type="dxa"/>
          </w:tcPr>
          <w:p w14:paraId="3C3A4CE7" w14:textId="41E8DAC5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721</w:t>
            </w:r>
          </w:p>
        </w:tc>
        <w:tc>
          <w:tcPr>
            <w:tcW w:w="2637" w:type="dxa"/>
          </w:tcPr>
          <w:p w14:paraId="3C3A4CE8" w14:textId="0C6067D3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Forensics</w:t>
            </w:r>
          </w:p>
        </w:tc>
        <w:tc>
          <w:tcPr>
            <w:tcW w:w="581" w:type="dxa"/>
          </w:tcPr>
          <w:p w14:paraId="3C3A4CE9" w14:textId="7C76942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CEA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3C3A4CEB" w14:textId="28E56888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7" w:type="dxa"/>
          </w:tcPr>
          <w:p w14:paraId="3C3A4CEC" w14:textId="121AD570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721</w:t>
            </w:r>
          </w:p>
        </w:tc>
        <w:tc>
          <w:tcPr>
            <w:tcW w:w="2500" w:type="dxa"/>
          </w:tcPr>
          <w:p w14:paraId="3C3A4CED" w14:textId="1E16AB7E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Forensics</w:t>
            </w:r>
          </w:p>
        </w:tc>
        <w:tc>
          <w:tcPr>
            <w:tcW w:w="630" w:type="dxa"/>
          </w:tcPr>
          <w:p w14:paraId="3C3A4CEE" w14:textId="019EB28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709E8" w14:paraId="3C3A4CF9" w14:textId="77777777" w:rsidTr="00670E50">
        <w:tc>
          <w:tcPr>
            <w:tcW w:w="675" w:type="dxa"/>
          </w:tcPr>
          <w:p w14:paraId="3C3A4CF0" w14:textId="0E0FA676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0" w:type="dxa"/>
          </w:tcPr>
          <w:p w14:paraId="3C3A4CF1" w14:textId="01F690F0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723</w:t>
            </w:r>
          </w:p>
        </w:tc>
        <w:tc>
          <w:tcPr>
            <w:tcW w:w="2637" w:type="dxa"/>
          </w:tcPr>
          <w:p w14:paraId="3C3A4CF2" w14:textId="702E450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Cryptography</w:t>
            </w:r>
          </w:p>
        </w:tc>
        <w:tc>
          <w:tcPr>
            <w:tcW w:w="581" w:type="dxa"/>
          </w:tcPr>
          <w:p w14:paraId="3C3A4CF3" w14:textId="1DB0F9F2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CF4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3C3A4CF5" w14:textId="76D18880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7" w:type="dxa"/>
          </w:tcPr>
          <w:p w14:paraId="3C3A4CF6" w14:textId="16324EA9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723</w:t>
            </w:r>
          </w:p>
        </w:tc>
        <w:tc>
          <w:tcPr>
            <w:tcW w:w="2500" w:type="dxa"/>
          </w:tcPr>
          <w:p w14:paraId="3C3A4CF7" w14:textId="691EB6DC" w:rsidR="004709E8" w:rsidRPr="000F7054" w:rsidRDefault="004709E8" w:rsidP="004709E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Cryptography</w:t>
            </w:r>
          </w:p>
        </w:tc>
        <w:tc>
          <w:tcPr>
            <w:tcW w:w="630" w:type="dxa"/>
          </w:tcPr>
          <w:p w14:paraId="3C3A4CF8" w14:textId="3BAA2E53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709E8" w14:paraId="3C3A4D03" w14:textId="77777777" w:rsidTr="00670E50">
        <w:tc>
          <w:tcPr>
            <w:tcW w:w="675" w:type="dxa"/>
          </w:tcPr>
          <w:p w14:paraId="3C3A4CFA" w14:textId="5373073C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INFA </w:t>
            </w:r>
          </w:p>
        </w:tc>
        <w:tc>
          <w:tcPr>
            <w:tcW w:w="690" w:type="dxa"/>
          </w:tcPr>
          <w:p w14:paraId="3C3A4CFB" w14:textId="44F3FB6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745</w:t>
            </w:r>
          </w:p>
        </w:tc>
        <w:tc>
          <w:tcPr>
            <w:tcW w:w="2637" w:type="dxa"/>
          </w:tcPr>
          <w:p w14:paraId="3C3A4CFC" w14:textId="198FD8A5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Compliance &amp; </w:t>
            </w:r>
            <w:proofErr w:type="spellStart"/>
            <w:r>
              <w:rPr>
                <w:spacing w:val="-2"/>
              </w:rPr>
              <w:t>Audt</w:t>
            </w:r>
            <w:proofErr w:type="spellEnd"/>
          </w:p>
        </w:tc>
        <w:tc>
          <w:tcPr>
            <w:tcW w:w="581" w:type="dxa"/>
          </w:tcPr>
          <w:p w14:paraId="3C3A4CFD" w14:textId="307640F1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CFE" w14:textId="329FC489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3C3A4CFF" w14:textId="14890D7A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INFA </w:t>
            </w:r>
          </w:p>
        </w:tc>
        <w:tc>
          <w:tcPr>
            <w:tcW w:w="697" w:type="dxa"/>
          </w:tcPr>
          <w:p w14:paraId="3C3A4D00" w14:textId="44F88B91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745</w:t>
            </w:r>
          </w:p>
        </w:tc>
        <w:tc>
          <w:tcPr>
            <w:tcW w:w="2500" w:type="dxa"/>
          </w:tcPr>
          <w:p w14:paraId="3C3A4D01" w14:textId="65771B88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Compliance &amp; Audit</w:t>
            </w:r>
          </w:p>
        </w:tc>
        <w:tc>
          <w:tcPr>
            <w:tcW w:w="630" w:type="dxa"/>
          </w:tcPr>
          <w:p w14:paraId="3C3A4D02" w14:textId="5C1F421D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709E8" w14:paraId="3C3A4D0D" w14:textId="77777777" w:rsidTr="00670E50">
        <w:tc>
          <w:tcPr>
            <w:tcW w:w="675" w:type="dxa"/>
          </w:tcPr>
          <w:p w14:paraId="3C3A4D04" w14:textId="71B0D286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INFA </w:t>
            </w:r>
          </w:p>
        </w:tc>
        <w:tc>
          <w:tcPr>
            <w:tcW w:w="690" w:type="dxa"/>
          </w:tcPr>
          <w:p w14:paraId="3C3A4D05" w14:textId="44573A02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751</w:t>
            </w:r>
          </w:p>
        </w:tc>
        <w:tc>
          <w:tcPr>
            <w:tcW w:w="2637" w:type="dxa"/>
          </w:tcPr>
          <w:p w14:paraId="3C3A4D06" w14:textId="2D19FA4A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Wireless Security</w:t>
            </w:r>
          </w:p>
        </w:tc>
        <w:tc>
          <w:tcPr>
            <w:tcW w:w="581" w:type="dxa"/>
          </w:tcPr>
          <w:p w14:paraId="3C3A4D07" w14:textId="2D25CCE4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D08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3C3A4D09" w14:textId="1FB2BB34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7" w:type="dxa"/>
          </w:tcPr>
          <w:p w14:paraId="3C3A4D0A" w14:textId="09A5B3F9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751</w:t>
            </w:r>
          </w:p>
        </w:tc>
        <w:tc>
          <w:tcPr>
            <w:tcW w:w="2500" w:type="dxa"/>
          </w:tcPr>
          <w:p w14:paraId="3C3A4D0B" w14:textId="3D7D045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Wireless Security</w:t>
            </w:r>
          </w:p>
        </w:tc>
        <w:tc>
          <w:tcPr>
            <w:tcW w:w="630" w:type="dxa"/>
          </w:tcPr>
          <w:p w14:paraId="3C3A4D0C" w14:textId="43B752E0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709E8" w14:paraId="42593954" w14:textId="77777777" w:rsidTr="00670E50">
        <w:tc>
          <w:tcPr>
            <w:tcW w:w="675" w:type="dxa"/>
          </w:tcPr>
          <w:p w14:paraId="4FCFF732" w14:textId="77777777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784B0643" w14:textId="77777777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</w:tcPr>
          <w:p w14:paraId="713C3505" w14:textId="77777777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DCAE43F" w14:textId="77777777" w:rsid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BA32039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1C1814A8" w14:textId="5BACBF01" w:rsidR="004709E8" w:rsidRP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709E8">
              <w:rPr>
                <w:spacing w:val="-2"/>
                <w:highlight w:val="yellow"/>
              </w:rPr>
              <w:t>INFS</w:t>
            </w:r>
          </w:p>
        </w:tc>
        <w:tc>
          <w:tcPr>
            <w:tcW w:w="697" w:type="dxa"/>
          </w:tcPr>
          <w:p w14:paraId="62DD44B9" w14:textId="466E2ACC" w:rsidR="004709E8" w:rsidRP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709E8">
              <w:rPr>
                <w:spacing w:val="-2"/>
                <w:highlight w:val="yellow"/>
              </w:rPr>
              <w:t>732</w:t>
            </w:r>
          </w:p>
        </w:tc>
        <w:tc>
          <w:tcPr>
            <w:tcW w:w="2500" w:type="dxa"/>
          </w:tcPr>
          <w:p w14:paraId="5DA26949" w14:textId="24E03072" w:rsidR="004709E8" w:rsidRP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709E8">
              <w:rPr>
                <w:spacing w:val="-2"/>
                <w:highlight w:val="yellow"/>
              </w:rPr>
              <w:t>Emerging Technologies &amp; Issues</w:t>
            </w:r>
          </w:p>
        </w:tc>
        <w:tc>
          <w:tcPr>
            <w:tcW w:w="630" w:type="dxa"/>
          </w:tcPr>
          <w:p w14:paraId="3AAE0DEE" w14:textId="47AF4CAC" w:rsidR="004709E8" w:rsidRPr="004709E8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709E8">
              <w:rPr>
                <w:spacing w:val="-2"/>
                <w:highlight w:val="yellow"/>
              </w:rPr>
              <w:t>3</w:t>
            </w:r>
          </w:p>
        </w:tc>
      </w:tr>
      <w:tr w:rsidR="004709E8" w14:paraId="3C3A4D17" w14:textId="77777777" w:rsidTr="00670E50">
        <w:tc>
          <w:tcPr>
            <w:tcW w:w="675" w:type="dxa"/>
            <w:tcBorders>
              <w:bottom w:val="single" w:sz="4" w:space="0" w:color="auto"/>
            </w:tcBorders>
          </w:tcPr>
          <w:p w14:paraId="3C3A4D0E" w14:textId="03EDE039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C3A4D0F" w14:textId="748A75AC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830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3C3A4D10" w14:textId="1CBC9044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Decision Support Systems</w:t>
            </w:r>
          </w:p>
        </w:tc>
        <w:tc>
          <w:tcPr>
            <w:tcW w:w="581" w:type="dxa"/>
          </w:tcPr>
          <w:p w14:paraId="3C3A4D11" w14:textId="11097DDF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C3A4D12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3C3A4D13" w14:textId="37DFCF70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INFS 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C3A4D14" w14:textId="7CDFC671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830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3C3A4D15" w14:textId="2F563DD4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Decision Support Systems</w:t>
            </w:r>
          </w:p>
        </w:tc>
        <w:tc>
          <w:tcPr>
            <w:tcW w:w="630" w:type="dxa"/>
          </w:tcPr>
          <w:p w14:paraId="3C3A4D16" w14:textId="26E08715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709E8" w14:paraId="1413153E" w14:textId="77777777" w:rsidTr="00670E50">
        <w:tc>
          <w:tcPr>
            <w:tcW w:w="675" w:type="dxa"/>
            <w:tcBorders>
              <w:bottom w:val="single" w:sz="4" w:space="0" w:color="auto"/>
            </w:tcBorders>
          </w:tcPr>
          <w:p w14:paraId="0ECFEE99" w14:textId="7E87ABA1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A010D9E" w14:textId="20535CE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834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75743C6A" w14:textId="300C8A82" w:rsidR="004709E8" w:rsidRPr="000F7054" w:rsidRDefault="004709E8" w:rsidP="004709E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Knowledge Management</w:t>
            </w:r>
          </w:p>
        </w:tc>
        <w:tc>
          <w:tcPr>
            <w:tcW w:w="581" w:type="dxa"/>
          </w:tcPr>
          <w:p w14:paraId="073E9C6E" w14:textId="6C2A7544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803ED6C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19B80A53" w14:textId="234DAE2B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INFS 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470CD92" w14:textId="156AD09B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834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368B3574" w14:textId="03B4D924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Knowledge Management</w:t>
            </w:r>
          </w:p>
        </w:tc>
        <w:tc>
          <w:tcPr>
            <w:tcW w:w="630" w:type="dxa"/>
          </w:tcPr>
          <w:p w14:paraId="158E6DB2" w14:textId="0DFDC353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709E8" w14:paraId="3C3A4D21" w14:textId="77777777" w:rsidTr="00670E50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3C3A4D18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3C3A4D19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  <w:tcBorders>
              <w:left w:val="nil"/>
              <w:bottom w:val="nil"/>
            </w:tcBorders>
          </w:tcPr>
          <w:p w14:paraId="3C3A4D1A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3C3A4D1B" w14:textId="4BFADE91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3C3A4D1C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3C3A4D1D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3C3A4D1E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0" w:type="dxa"/>
            <w:tcBorders>
              <w:left w:val="nil"/>
              <w:bottom w:val="nil"/>
            </w:tcBorders>
          </w:tcPr>
          <w:p w14:paraId="3C3A4D1F" w14:textId="77777777" w:rsidR="004709E8" w:rsidRPr="000F7054" w:rsidRDefault="004709E8" w:rsidP="004709E8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C3A4D20" w14:textId="72394C1F" w:rsidR="004709E8" w:rsidRPr="000F7054" w:rsidRDefault="004709E8" w:rsidP="004709E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0661C0EB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6F32B2F0" w14:textId="4ACD2469" w:rsidR="00865F36" w:rsidRPr="00865F36" w:rsidRDefault="00686CAC" w:rsidP="00865F36">
      <w:pPr>
        <w:pStyle w:val="ListParagraph"/>
        <w:tabs>
          <w:tab w:val="center" w:pos="5400"/>
        </w:tabs>
        <w:suppressAutoHyphens/>
        <w:ind w:left="360"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Provide the INFS 732 Course as an elective opportunity for </w:t>
      </w:r>
      <w:r w:rsidR="000C1AA6">
        <w:rPr>
          <w:bCs/>
          <w:spacing w:val="-2"/>
          <w:sz w:val="24"/>
        </w:rPr>
        <w:t>Specialization Electives or Analytics and Decision Support Specialization.</w:t>
      </w:r>
    </w:p>
    <w:p w14:paraId="3C3A4D24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5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399C" w14:textId="77777777" w:rsidR="00E45ECB" w:rsidRDefault="00E45ECB" w:rsidP="00193C86">
      <w:r>
        <w:separator/>
      </w:r>
    </w:p>
  </w:endnote>
  <w:endnote w:type="continuationSeparator" w:id="0">
    <w:p w14:paraId="766F877F" w14:textId="77777777" w:rsidR="00E45ECB" w:rsidRDefault="00E45EC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4D2C" w14:textId="77777777" w:rsidR="006403C1" w:rsidRPr="006403C1" w:rsidRDefault="006403C1" w:rsidP="00D45CE1">
    <w:pPr>
      <w:pStyle w:val="Footer"/>
      <w:jc w:val="center"/>
      <w:rPr>
        <w:i/>
      </w:rPr>
    </w:pPr>
  </w:p>
  <w:p w14:paraId="3C3A4D2D" w14:textId="77777777" w:rsidR="00E00D8E" w:rsidRPr="006403C1" w:rsidRDefault="00E00D8E" w:rsidP="00D45CE1">
    <w:pPr>
      <w:pStyle w:val="Footer"/>
      <w:jc w:val="center"/>
      <w:rPr>
        <w:i/>
      </w:rPr>
    </w:pPr>
    <w:r w:rsidRPr="006403C1">
      <w:rPr>
        <w:i/>
      </w:rPr>
      <w:t xml:space="preserve">Program Forms, </w:t>
    </w:r>
    <w:r w:rsidR="00517491" w:rsidRPr="006403C1">
      <w:rPr>
        <w:i/>
      </w:rPr>
      <w:t>Minor Program Modification</w:t>
    </w:r>
    <w:r w:rsidRPr="006403C1">
      <w:rPr>
        <w:i/>
      </w:rPr>
      <w:t xml:space="preserve"> Form (last revised </w:t>
    </w:r>
    <w:r w:rsidR="006403C1">
      <w:rPr>
        <w:i/>
      </w:rPr>
      <w:t>0</w:t>
    </w:r>
    <w:r w:rsidR="0067491D">
      <w:rPr>
        <w:i/>
      </w:rPr>
      <w:t>8</w:t>
    </w:r>
    <w:r w:rsidRPr="006403C1">
      <w:rPr>
        <w:i/>
      </w:rPr>
      <w:t>/201</w:t>
    </w:r>
    <w:r w:rsidR="007666E1" w:rsidRPr="006403C1">
      <w:rPr>
        <w:i/>
      </w:rPr>
      <w:t>6</w:t>
    </w:r>
    <w:r w:rsidRPr="006403C1">
      <w:rPr>
        <w:i/>
      </w:rPr>
      <w:t>)</w:t>
    </w:r>
  </w:p>
  <w:p w14:paraId="3C3A4D2E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EDCB6F0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1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382E" w14:textId="77777777" w:rsidR="00E45ECB" w:rsidRDefault="00E45ECB" w:rsidP="00193C86">
      <w:r>
        <w:separator/>
      </w:r>
    </w:p>
  </w:footnote>
  <w:footnote w:type="continuationSeparator" w:id="0">
    <w:p w14:paraId="3C8A97C0" w14:textId="77777777" w:rsidR="00E45ECB" w:rsidRDefault="00E45ECB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F4146"/>
    <w:multiLevelType w:val="multilevel"/>
    <w:tmpl w:val="A2BA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6564F"/>
    <w:rsid w:val="00074FAB"/>
    <w:rsid w:val="000A3D02"/>
    <w:rsid w:val="000A4909"/>
    <w:rsid w:val="000B6EC4"/>
    <w:rsid w:val="000C1AA6"/>
    <w:rsid w:val="000C1E3D"/>
    <w:rsid w:val="000C7E66"/>
    <w:rsid w:val="000E0027"/>
    <w:rsid w:val="000E2D48"/>
    <w:rsid w:val="000F4F07"/>
    <w:rsid w:val="000F7054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3D07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151BE"/>
    <w:rsid w:val="0032349F"/>
    <w:rsid w:val="0032416C"/>
    <w:rsid w:val="00336C35"/>
    <w:rsid w:val="00337997"/>
    <w:rsid w:val="0035740B"/>
    <w:rsid w:val="00364B43"/>
    <w:rsid w:val="00377961"/>
    <w:rsid w:val="00384C6A"/>
    <w:rsid w:val="0038763F"/>
    <w:rsid w:val="003964D0"/>
    <w:rsid w:val="003B1075"/>
    <w:rsid w:val="003B2E6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709E8"/>
    <w:rsid w:val="004735F7"/>
    <w:rsid w:val="00476AEC"/>
    <w:rsid w:val="00482868"/>
    <w:rsid w:val="0048543A"/>
    <w:rsid w:val="004A4CF5"/>
    <w:rsid w:val="004B7303"/>
    <w:rsid w:val="004C4A61"/>
    <w:rsid w:val="004D522C"/>
    <w:rsid w:val="004D5B9D"/>
    <w:rsid w:val="004E2E84"/>
    <w:rsid w:val="004F26FC"/>
    <w:rsid w:val="004F72E5"/>
    <w:rsid w:val="005110D3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0E50"/>
    <w:rsid w:val="00671ED7"/>
    <w:rsid w:val="0067491D"/>
    <w:rsid w:val="00681937"/>
    <w:rsid w:val="00686CAC"/>
    <w:rsid w:val="00690332"/>
    <w:rsid w:val="006A0361"/>
    <w:rsid w:val="006B2979"/>
    <w:rsid w:val="006D4E72"/>
    <w:rsid w:val="006D69E7"/>
    <w:rsid w:val="006D708F"/>
    <w:rsid w:val="006F624A"/>
    <w:rsid w:val="00700DE1"/>
    <w:rsid w:val="00711C37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65F36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6567E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836F7"/>
    <w:rsid w:val="00C961FD"/>
    <w:rsid w:val="00CB57A3"/>
    <w:rsid w:val="00CD5571"/>
    <w:rsid w:val="00CE621D"/>
    <w:rsid w:val="00CF10B4"/>
    <w:rsid w:val="00CF5444"/>
    <w:rsid w:val="00D140E8"/>
    <w:rsid w:val="00D2387D"/>
    <w:rsid w:val="00D3098B"/>
    <w:rsid w:val="00D368BD"/>
    <w:rsid w:val="00D45CE1"/>
    <w:rsid w:val="00D470F9"/>
    <w:rsid w:val="00D47F51"/>
    <w:rsid w:val="00D5286E"/>
    <w:rsid w:val="00D52B0F"/>
    <w:rsid w:val="00D6759D"/>
    <w:rsid w:val="00D85CB4"/>
    <w:rsid w:val="00D86EA5"/>
    <w:rsid w:val="00DC05BB"/>
    <w:rsid w:val="00E00D8E"/>
    <w:rsid w:val="00E141D7"/>
    <w:rsid w:val="00E45ECB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31754"/>
    <w:rsid w:val="00F37BFE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6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572F5"/>
    <w:rsid w:val="005A1B7F"/>
    <w:rsid w:val="007D3075"/>
    <w:rsid w:val="00A27335"/>
    <w:rsid w:val="00AD41D5"/>
    <w:rsid w:val="00C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B82CF-0A52-494A-94AE-FE06D13C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2016-08-26T16:24:00Z</cp:lastPrinted>
  <dcterms:created xsi:type="dcterms:W3CDTF">2022-01-25T21:22:00Z</dcterms:created>
  <dcterms:modified xsi:type="dcterms:W3CDTF">2022-01-25T21:22:00Z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